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5EE69C00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1C5F9B">
        <w:rPr>
          <w:rFonts w:ascii="Arial" w:hAnsi="Arial" w:cs="Arial"/>
          <w:b/>
          <w:sz w:val="24"/>
          <w:szCs w:val="28"/>
          <w:lang w:val="en-US"/>
        </w:rPr>
        <w:t>8</w:t>
      </w:r>
      <w:r w:rsidR="00521460">
        <w:rPr>
          <w:rFonts w:ascii="Arial" w:hAnsi="Arial" w:cs="Arial"/>
          <w:b/>
          <w:sz w:val="24"/>
          <w:szCs w:val="28"/>
          <w:lang w:val="en-US"/>
        </w:rPr>
        <w:t>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1C5F9B">
        <w:rPr>
          <w:rFonts w:ascii="Arial" w:hAnsi="Arial" w:cs="Arial"/>
          <w:b/>
          <w:sz w:val="24"/>
          <w:szCs w:val="28"/>
          <w:lang w:val="en-US"/>
        </w:rPr>
        <w:t>1</w:t>
      </w:r>
      <w:r w:rsidR="002B2162">
        <w:rPr>
          <w:rFonts w:ascii="Arial" w:hAnsi="Arial" w:cs="Arial"/>
          <w:b/>
          <w:sz w:val="24"/>
          <w:szCs w:val="28"/>
          <w:lang w:val="en-US"/>
        </w:rPr>
        <w:t>07138</w:t>
      </w:r>
    </w:p>
    <w:p w14:paraId="60407F1B" w14:textId="602C38E6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521460">
        <w:rPr>
          <w:rFonts w:ascii="Arial" w:hAnsi="Arial" w:cs="Arial"/>
          <w:b/>
          <w:sz w:val="24"/>
          <w:szCs w:val="28"/>
          <w:lang w:val="en-US"/>
        </w:rPr>
        <w:t>April 12-20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1C5F9B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6D0917EF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21460">
        <w:rPr>
          <w:rFonts w:ascii="Arial" w:hAnsi="Arial" w:cs="Arial"/>
          <w:sz w:val="22"/>
          <w:szCs w:val="22"/>
          <w:lang w:val="en-US"/>
        </w:rPr>
        <w:t>5</w:t>
      </w:r>
      <w:r w:rsidR="00E07F48">
        <w:rPr>
          <w:rFonts w:ascii="Arial" w:hAnsi="Arial" w:cs="Arial"/>
          <w:sz w:val="22"/>
          <w:szCs w:val="22"/>
          <w:lang w:val="en-US"/>
        </w:rPr>
        <w:t>.1.5.9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43B6B2B2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bookmarkStart w:id="1" w:name="_Hlk68273829"/>
      <w:r w:rsidR="004527EC" w:rsidRPr="004527EC">
        <w:rPr>
          <w:rFonts w:ascii="Arial" w:hAnsi="Arial" w:cs="Arial"/>
          <w:sz w:val="22"/>
          <w:szCs w:val="22"/>
        </w:rPr>
        <w:t xml:space="preserve">Further analysis of </w:t>
      </w:r>
      <w:r w:rsidR="00E07F48" w:rsidRPr="00E07F48">
        <w:rPr>
          <w:rFonts w:ascii="Arial" w:hAnsi="Arial" w:cs="Arial"/>
          <w:sz w:val="22"/>
          <w:szCs w:val="22"/>
        </w:rPr>
        <w:t>UE transmit timing under DL LBT failure in reference cell</w:t>
      </w:r>
      <w:bookmarkEnd w:id="1"/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783873E7" w14:textId="65F3918C" w:rsidR="00C36633" w:rsidRDefault="003B3048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5A5842">
        <w:rPr>
          <w:sz w:val="22"/>
          <w:szCs w:val="22"/>
          <w:lang w:val="en-US"/>
        </w:rPr>
        <w:t xml:space="preserve">RAN4#97-e </w:t>
      </w:r>
      <w:r w:rsidR="002C0DDA">
        <w:rPr>
          <w:sz w:val="22"/>
          <w:szCs w:val="22"/>
          <w:lang w:val="en-US"/>
        </w:rPr>
        <w:t xml:space="preserve">the </w:t>
      </w:r>
      <w:r w:rsidR="005A5842">
        <w:rPr>
          <w:sz w:val="22"/>
          <w:szCs w:val="22"/>
          <w:lang w:val="en-US"/>
        </w:rPr>
        <w:t xml:space="preserve">following open issues related to the </w:t>
      </w:r>
      <w:r w:rsidR="002C0DDA">
        <w:rPr>
          <w:sz w:val="22"/>
          <w:szCs w:val="22"/>
          <w:lang w:val="en-US"/>
        </w:rPr>
        <w:t xml:space="preserve">UE transmit timing requirements for NR-U were </w:t>
      </w:r>
      <w:r w:rsidR="005A5842">
        <w:rPr>
          <w:sz w:val="22"/>
          <w:szCs w:val="22"/>
          <w:lang w:val="en-US"/>
        </w:rPr>
        <w:t>identified</w:t>
      </w:r>
      <w:r w:rsidR="00AF05AC">
        <w:rPr>
          <w:sz w:val="22"/>
          <w:szCs w:val="22"/>
          <w:lang w:val="en-US"/>
        </w:rPr>
        <w:t xml:space="preserve"> [1]:</w:t>
      </w:r>
    </w:p>
    <w:p w14:paraId="4F3D543B" w14:textId="77777777" w:rsidR="00C36633" w:rsidRPr="00C36633" w:rsidRDefault="00C36633" w:rsidP="00AF05AC">
      <w:pPr>
        <w:pStyle w:val="ListParagraph"/>
        <w:numPr>
          <w:ilvl w:val="0"/>
          <w:numId w:val="25"/>
        </w:numPr>
        <w:pBdr>
          <w:top w:val="single" w:sz="4" w:space="1" w:color="auto"/>
        </w:pBdr>
        <w:spacing w:before="240"/>
        <w:ind w:left="714" w:hanging="357"/>
        <w:contextualSpacing w:val="0"/>
        <w:rPr>
          <w:rFonts w:ascii="Times New Roman" w:hAnsi="Times New Roman"/>
          <w:i/>
          <w:iCs/>
          <w:szCs w:val="22"/>
        </w:rPr>
      </w:pPr>
      <w:r w:rsidRPr="00C36633">
        <w:rPr>
          <w:rFonts w:ascii="Times New Roman" w:hAnsi="Times New Roman"/>
          <w:i/>
          <w:iCs/>
          <w:szCs w:val="22"/>
        </w:rPr>
        <w:t>DRX case: FFS, unless this can also be solved in RAN4#97-e</w:t>
      </w:r>
    </w:p>
    <w:p w14:paraId="518DB3A2" w14:textId="7ED528FB" w:rsidR="00C36633" w:rsidRPr="00C36633" w:rsidRDefault="00C36633" w:rsidP="00C36633">
      <w:pPr>
        <w:pStyle w:val="ListParagraph"/>
        <w:numPr>
          <w:ilvl w:val="0"/>
          <w:numId w:val="25"/>
        </w:numPr>
        <w:pBdr>
          <w:bottom w:val="single" w:sz="4" w:space="1" w:color="auto"/>
        </w:pBdr>
        <w:spacing w:before="120"/>
        <w:rPr>
          <w:rFonts w:ascii="Times New Roman" w:hAnsi="Times New Roman"/>
          <w:i/>
          <w:iCs/>
          <w:szCs w:val="22"/>
        </w:rPr>
      </w:pPr>
      <w:r w:rsidRPr="00C36633">
        <w:rPr>
          <w:rFonts w:ascii="Times New Roman" w:hAnsi="Times New Roman"/>
          <w:i/>
          <w:iCs/>
          <w:szCs w:val="22"/>
        </w:rPr>
        <w:t>FFS: when there is no available serving SSB outside gap</w:t>
      </w:r>
    </w:p>
    <w:p w14:paraId="6B7512D8" w14:textId="41125C8C" w:rsidR="00AF05AC" w:rsidRPr="001D2FBF" w:rsidRDefault="005A5842" w:rsidP="00AF05AC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addressed the above issues in our previous contribution </w:t>
      </w:r>
      <w:r w:rsidR="00703CF2">
        <w:rPr>
          <w:sz w:val="22"/>
          <w:szCs w:val="22"/>
          <w:lang w:val="en-US"/>
        </w:rPr>
        <w:t>in [</w:t>
      </w:r>
      <w:r w:rsidR="00D65AEB">
        <w:rPr>
          <w:sz w:val="22"/>
          <w:szCs w:val="22"/>
          <w:lang w:val="en-US"/>
        </w:rPr>
        <w:t>2</w:t>
      </w:r>
      <w:r w:rsidR="00703CF2">
        <w:rPr>
          <w:sz w:val="22"/>
          <w:szCs w:val="22"/>
          <w:lang w:val="en-US"/>
        </w:rPr>
        <w:t>].</w:t>
      </w:r>
      <w:r w:rsidR="008352C9">
        <w:rPr>
          <w:sz w:val="22"/>
          <w:szCs w:val="22"/>
          <w:lang w:val="en-US"/>
        </w:rPr>
        <w:t xml:space="preserve"> This was also extensively discussed </w:t>
      </w:r>
      <w:r w:rsidR="00D65AEB">
        <w:rPr>
          <w:sz w:val="22"/>
          <w:szCs w:val="22"/>
          <w:lang w:val="en-US"/>
        </w:rPr>
        <w:t xml:space="preserve">in other contributions [3-6]. But no consensus was reached. </w:t>
      </w:r>
      <w:r w:rsidR="00AF05AC">
        <w:rPr>
          <w:sz w:val="22"/>
          <w:szCs w:val="22"/>
          <w:lang w:val="en-US"/>
        </w:rPr>
        <w:t xml:space="preserve">The above </w:t>
      </w:r>
      <w:r w:rsidR="006E6FCA">
        <w:rPr>
          <w:sz w:val="22"/>
          <w:szCs w:val="22"/>
          <w:lang w:val="en-US"/>
        </w:rPr>
        <w:t xml:space="preserve">open </w:t>
      </w:r>
      <w:r w:rsidR="00AF05AC">
        <w:rPr>
          <w:sz w:val="22"/>
          <w:szCs w:val="22"/>
          <w:lang w:val="en-US"/>
        </w:rPr>
        <w:t xml:space="preserve">issues </w:t>
      </w:r>
      <w:r w:rsidR="006E6FCA">
        <w:rPr>
          <w:sz w:val="22"/>
          <w:szCs w:val="22"/>
          <w:lang w:val="en-US"/>
        </w:rPr>
        <w:t xml:space="preserve">related to UE timing in NR-U </w:t>
      </w:r>
      <w:r w:rsidR="00AF05AC">
        <w:rPr>
          <w:sz w:val="22"/>
          <w:szCs w:val="22"/>
          <w:lang w:val="en-US"/>
        </w:rPr>
        <w:t xml:space="preserve">are </w:t>
      </w:r>
      <w:r w:rsidR="00D65AEB">
        <w:rPr>
          <w:sz w:val="22"/>
          <w:szCs w:val="22"/>
          <w:lang w:val="en-US"/>
        </w:rPr>
        <w:t xml:space="preserve">therefore </w:t>
      </w:r>
      <w:r>
        <w:rPr>
          <w:sz w:val="22"/>
          <w:szCs w:val="22"/>
          <w:lang w:val="en-US"/>
        </w:rPr>
        <w:t>furthe</w:t>
      </w:r>
      <w:r w:rsidR="00D65AEB">
        <w:rPr>
          <w:sz w:val="22"/>
          <w:szCs w:val="22"/>
          <w:lang w:val="en-US"/>
        </w:rPr>
        <w:t>r</w:t>
      </w:r>
      <w:r>
        <w:rPr>
          <w:sz w:val="22"/>
          <w:szCs w:val="22"/>
          <w:lang w:val="en-US"/>
        </w:rPr>
        <w:t xml:space="preserve"> </w:t>
      </w:r>
      <w:r w:rsidR="00AF05AC">
        <w:rPr>
          <w:sz w:val="22"/>
          <w:szCs w:val="22"/>
          <w:lang w:val="en-US"/>
        </w:rPr>
        <w:t xml:space="preserve">analyzed in </w:t>
      </w:r>
      <w:r w:rsidR="006E6FCA">
        <w:rPr>
          <w:sz w:val="22"/>
          <w:szCs w:val="22"/>
          <w:lang w:val="en-US"/>
        </w:rPr>
        <w:t>this paper.</w:t>
      </w:r>
    </w:p>
    <w:p w14:paraId="76B57B46" w14:textId="07F7140A" w:rsidR="00CB610D" w:rsidRPr="001D2FBF" w:rsidRDefault="001B4EA4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I</w:t>
      </w:r>
      <w:r w:rsidR="004E11F3">
        <w:t xml:space="preserve">mpact of </w:t>
      </w:r>
      <w:r w:rsidR="006E6FCA">
        <w:t>DRX and gaps on UE timing requirements</w:t>
      </w:r>
    </w:p>
    <w:p w14:paraId="7FAB2477" w14:textId="3E1E10A5" w:rsidR="006E6FCA" w:rsidRDefault="006E6FC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NR-U, </w:t>
      </w:r>
      <w:r w:rsidR="00214D4D">
        <w:rPr>
          <w:sz w:val="22"/>
          <w:szCs w:val="22"/>
        </w:rPr>
        <w:t xml:space="preserve">the UE derives transmit timing based on reference cell which is </w:t>
      </w:r>
      <w:proofErr w:type="spellStart"/>
      <w:r w:rsidR="007F3DAB">
        <w:rPr>
          <w:sz w:val="22"/>
          <w:szCs w:val="22"/>
        </w:rPr>
        <w:t>SpCell</w:t>
      </w:r>
      <w:proofErr w:type="spellEnd"/>
      <w:r w:rsidR="007F3DAB">
        <w:rPr>
          <w:sz w:val="22"/>
          <w:szCs w:val="22"/>
        </w:rPr>
        <w:t xml:space="preserve"> (</w:t>
      </w:r>
      <w:proofErr w:type="spellStart"/>
      <w:r w:rsidR="007F3DAB">
        <w:rPr>
          <w:sz w:val="22"/>
          <w:szCs w:val="22"/>
        </w:rPr>
        <w:t>PCell</w:t>
      </w:r>
      <w:proofErr w:type="spellEnd"/>
      <w:r w:rsidR="007F3DAB">
        <w:rPr>
          <w:sz w:val="22"/>
          <w:szCs w:val="22"/>
        </w:rPr>
        <w:t xml:space="preserve"> or </w:t>
      </w:r>
      <w:proofErr w:type="spellStart"/>
      <w:r w:rsidR="007F3DAB">
        <w:rPr>
          <w:sz w:val="22"/>
          <w:szCs w:val="22"/>
        </w:rPr>
        <w:t>PSCell</w:t>
      </w:r>
      <w:proofErr w:type="spellEnd"/>
      <w:r w:rsidR="007F3DAB">
        <w:rPr>
          <w:sz w:val="22"/>
          <w:szCs w:val="22"/>
        </w:rPr>
        <w:t xml:space="preserve">) </w:t>
      </w:r>
      <w:r w:rsidR="00214D4D">
        <w:rPr>
          <w:sz w:val="22"/>
          <w:szCs w:val="22"/>
        </w:rPr>
        <w:t xml:space="preserve">and it can be </w:t>
      </w:r>
      <w:r w:rsidR="007F3DAB">
        <w:rPr>
          <w:sz w:val="22"/>
          <w:szCs w:val="22"/>
        </w:rPr>
        <w:t>subject to DL CCA</w:t>
      </w:r>
      <w:r w:rsidR="00214D4D">
        <w:rPr>
          <w:sz w:val="22"/>
          <w:szCs w:val="22"/>
        </w:rPr>
        <w:t xml:space="preserve"> e.g. in SA or </w:t>
      </w:r>
      <w:r w:rsidR="00B04186">
        <w:rPr>
          <w:sz w:val="22"/>
          <w:szCs w:val="22"/>
        </w:rPr>
        <w:t>EN-DC scenario.</w:t>
      </w:r>
    </w:p>
    <w:p w14:paraId="22714F1A" w14:textId="0BFAC8F2" w:rsidR="002C707A" w:rsidRDefault="002C707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above open issues are related to the definition of </w:t>
      </w:r>
      <w:r w:rsidR="00F13E4B">
        <w:rPr>
          <w:sz w:val="22"/>
          <w:szCs w:val="22"/>
        </w:rPr>
        <w:t xml:space="preserve">the unavailability of a </w:t>
      </w:r>
      <w:r w:rsidR="00F13E4B" w:rsidRPr="00F13E4B">
        <w:rPr>
          <w:sz w:val="22"/>
          <w:szCs w:val="22"/>
        </w:rPr>
        <w:t>reference cell on a carrier frequency subject to CCA</w:t>
      </w:r>
      <w:r w:rsidR="000B37F1">
        <w:rPr>
          <w:sz w:val="22"/>
          <w:szCs w:val="22"/>
        </w:rPr>
        <w:t xml:space="preserve">. </w:t>
      </w:r>
    </w:p>
    <w:p w14:paraId="01F296AF" w14:textId="4182D4DF" w:rsidR="00452E98" w:rsidRPr="00452E98" w:rsidRDefault="00452E98" w:rsidP="00B823CA">
      <w:pPr>
        <w:spacing w:before="240" w:after="0"/>
        <w:rPr>
          <w:b/>
          <w:bCs/>
          <w:sz w:val="22"/>
          <w:szCs w:val="22"/>
        </w:rPr>
      </w:pPr>
      <w:r w:rsidRPr="00452E98">
        <w:rPr>
          <w:b/>
          <w:bCs/>
          <w:sz w:val="22"/>
          <w:szCs w:val="22"/>
          <w:u w:val="single"/>
        </w:rPr>
        <w:t>Impact of DRX on timing</w:t>
      </w:r>
      <w:r w:rsidRPr="00452E98">
        <w:rPr>
          <w:b/>
          <w:bCs/>
          <w:sz w:val="22"/>
          <w:szCs w:val="22"/>
        </w:rPr>
        <w:t>:</w:t>
      </w:r>
    </w:p>
    <w:p w14:paraId="762888E1" w14:textId="5205B318" w:rsidR="007359B7" w:rsidRDefault="002B7291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On the f</w:t>
      </w:r>
      <w:r w:rsidR="00E92350">
        <w:rPr>
          <w:sz w:val="22"/>
          <w:szCs w:val="22"/>
        </w:rPr>
        <w:t>irs</w:t>
      </w:r>
      <w:r>
        <w:rPr>
          <w:sz w:val="22"/>
          <w:szCs w:val="22"/>
        </w:rPr>
        <w:t>t</w:t>
      </w:r>
      <w:r w:rsidR="00DE1BEB">
        <w:rPr>
          <w:sz w:val="22"/>
          <w:szCs w:val="22"/>
        </w:rPr>
        <w:t xml:space="preserve"> is</w:t>
      </w:r>
      <w:r>
        <w:rPr>
          <w:sz w:val="22"/>
          <w:szCs w:val="22"/>
        </w:rPr>
        <w:t>s</w:t>
      </w:r>
      <w:r w:rsidR="00DE1BEB">
        <w:rPr>
          <w:sz w:val="22"/>
          <w:szCs w:val="22"/>
        </w:rPr>
        <w:t xml:space="preserve">ue </w:t>
      </w:r>
      <w:r>
        <w:rPr>
          <w:sz w:val="22"/>
          <w:szCs w:val="22"/>
        </w:rPr>
        <w:t xml:space="preserve">related to </w:t>
      </w:r>
      <w:r w:rsidR="00E92350">
        <w:rPr>
          <w:sz w:val="22"/>
          <w:szCs w:val="22"/>
        </w:rPr>
        <w:t xml:space="preserve">DRX it </w:t>
      </w:r>
      <w:r w:rsidR="001508B4">
        <w:rPr>
          <w:sz w:val="22"/>
          <w:szCs w:val="22"/>
        </w:rPr>
        <w:t>has been a</w:t>
      </w:r>
      <w:r w:rsidR="000B37F1">
        <w:rPr>
          <w:sz w:val="22"/>
          <w:szCs w:val="22"/>
        </w:rPr>
        <w:t>rgue</w:t>
      </w:r>
      <w:r w:rsidR="00E92350">
        <w:rPr>
          <w:sz w:val="22"/>
          <w:szCs w:val="22"/>
        </w:rPr>
        <w:t>d</w:t>
      </w:r>
      <w:r w:rsidR="000B37F1">
        <w:rPr>
          <w:sz w:val="22"/>
          <w:szCs w:val="22"/>
        </w:rPr>
        <w:t xml:space="preserve"> </w:t>
      </w:r>
      <w:r w:rsidR="00A2410C">
        <w:rPr>
          <w:sz w:val="22"/>
          <w:szCs w:val="22"/>
        </w:rPr>
        <w:t xml:space="preserve">that </w:t>
      </w:r>
      <w:r w:rsidR="009E0B99">
        <w:rPr>
          <w:sz w:val="22"/>
          <w:szCs w:val="22"/>
        </w:rPr>
        <w:t>when DRX is used then the SSB should be available within the ON duration of the DRX otherwise the reference cell should be considered unavailable</w:t>
      </w:r>
      <w:r w:rsidR="004E5C4A">
        <w:rPr>
          <w:sz w:val="22"/>
          <w:szCs w:val="22"/>
        </w:rPr>
        <w:t xml:space="preserve"> [3]</w:t>
      </w:r>
      <w:r w:rsidR="009E0B99">
        <w:rPr>
          <w:sz w:val="22"/>
          <w:szCs w:val="22"/>
        </w:rPr>
        <w:t xml:space="preserve">. </w:t>
      </w:r>
      <w:r w:rsidR="00DE1BEB">
        <w:rPr>
          <w:sz w:val="22"/>
          <w:szCs w:val="22"/>
        </w:rPr>
        <w:t>We do not agree with this argument. Firstly</w:t>
      </w:r>
      <w:r>
        <w:rPr>
          <w:sz w:val="22"/>
          <w:szCs w:val="22"/>
        </w:rPr>
        <w:t xml:space="preserve">, </w:t>
      </w:r>
      <w:r w:rsidR="00F22B70">
        <w:rPr>
          <w:sz w:val="22"/>
          <w:szCs w:val="22"/>
        </w:rPr>
        <w:t xml:space="preserve">the </w:t>
      </w:r>
      <w:r w:rsidR="006C4D2B">
        <w:rPr>
          <w:sz w:val="22"/>
          <w:szCs w:val="22"/>
        </w:rPr>
        <w:t xml:space="preserve">necessary condition is that the SSB is available once 160 </w:t>
      </w:r>
      <w:proofErr w:type="spellStart"/>
      <w:r w:rsidR="006C4D2B">
        <w:rPr>
          <w:sz w:val="22"/>
          <w:szCs w:val="22"/>
        </w:rPr>
        <w:t>ms</w:t>
      </w:r>
      <w:proofErr w:type="spellEnd"/>
      <w:r w:rsidR="00F27471">
        <w:rPr>
          <w:sz w:val="22"/>
          <w:szCs w:val="22"/>
        </w:rPr>
        <w:t xml:space="preserve">. SSB transmission is cell specific while DRX is UE specific. </w:t>
      </w:r>
      <w:r w:rsidR="00C44EBF">
        <w:rPr>
          <w:sz w:val="22"/>
          <w:szCs w:val="22"/>
        </w:rPr>
        <w:t xml:space="preserve">For load balancing purposes, the </w:t>
      </w:r>
      <w:r w:rsidR="00D77307">
        <w:rPr>
          <w:sz w:val="22"/>
          <w:szCs w:val="22"/>
        </w:rPr>
        <w:t xml:space="preserve">base station typically configures UEs in DRX with different time offsets. </w:t>
      </w:r>
      <w:r w:rsidR="00353FBA">
        <w:rPr>
          <w:sz w:val="22"/>
          <w:szCs w:val="22"/>
        </w:rPr>
        <w:t>I</w:t>
      </w:r>
      <w:r w:rsidR="00D77307">
        <w:rPr>
          <w:sz w:val="22"/>
          <w:szCs w:val="22"/>
        </w:rPr>
        <w:t xml:space="preserve">t </w:t>
      </w:r>
      <w:r w:rsidR="002451E5">
        <w:rPr>
          <w:sz w:val="22"/>
          <w:szCs w:val="22"/>
        </w:rPr>
        <w:t xml:space="preserve">is </w:t>
      </w:r>
      <w:r w:rsidR="00353FBA">
        <w:rPr>
          <w:sz w:val="22"/>
          <w:szCs w:val="22"/>
        </w:rPr>
        <w:t xml:space="preserve">therefore </w:t>
      </w:r>
      <w:r w:rsidR="002451E5">
        <w:rPr>
          <w:sz w:val="22"/>
          <w:szCs w:val="22"/>
        </w:rPr>
        <w:t xml:space="preserve">unrealistic to configure SSB in DRX ON of every UE in a cell. </w:t>
      </w:r>
      <w:r w:rsidR="00452E98">
        <w:rPr>
          <w:sz w:val="22"/>
          <w:szCs w:val="22"/>
        </w:rPr>
        <w:t xml:space="preserve">Secondly, the </w:t>
      </w:r>
      <w:r w:rsidR="00F22B70">
        <w:rPr>
          <w:sz w:val="22"/>
          <w:szCs w:val="22"/>
        </w:rPr>
        <w:t xml:space="preserve">UE needs to </w:t>
      </w:r>
      <w:r w:rsidR="00B7764A">
        <w:rPr>
          <w:sz w:val="22"/>
          <w:szCs w:val="22"/>
        </w:rPr>
        <w:t xml:space="preserve">perform </w:t>
      </w:r>
      <w:r w:rsidR="00F0100C">
        <w:rPr>
          <w:sz w:val="22"/>
          <w:szCs w:val="22"/>
        </w:rPr>
        <w:t xml:space="preserve">time-frequency </w:t>
      </w:r>
      <w:r w:rsidR="00F22B70">
        <w:rPr>
          <w:sz w:val="22"/>
          <w:szCs w:val="22"/>
        </w:rPr>
        <w:t>trac</w:t>
      </w:r>
      <w:r w:rsidR="00B20AFA">
        <w:rPr>
          <w:sz w:val="22"/>
          <w:szCs w:val="22"/>
        </w:rPr>
        <w:t>k</w:t>
      </w:r>
      <w:r w:rsidR="00F0100C">
        <w:rPr>
          <w:sz w:val="22"/>
          <w:szCs w:val="22"/>
        </w:rPr>
        <w:t>ing</w:t>
      </w:r>
      <w:r w:rsidR="00F22B70">
        <w:rPr>
          <w:sz w:val="22"/>
          <w:szCs w:val="22"/>
        </w:rPr>
        <w:t xml:space="preserve"> </w:t>
      </w:r>
      <w:proofErr w:type="gramStart"/>
      <w:r w:rsidR="00F22B70">
        <w:rPr>
          <w:sz w:val="22"/>
          <w:szCs w:val="22"/>
        </w:rPr>
        <w:t>i</w:t>
      </w:r>
      <w:r w:rsidR="00F0100C">
        <w:rPr>
          <w:sz w:val="22"/>
          <w:szCs w:val="22"/>
        </w:rPr>
        <w:t>n order to</w:t>
      </w:r>
      <w:proofErr w:type="gramEnd"/>
      <w:r w:rsidR="00F0100C">
        <w:rPr>
          <w:sz w:val="22"/>
          <w:szCs w:val="22"/>
        </w:rPr>
        <w:t xml:space="preserve"> receive the PDCCH in the ON duration. </w:t>
      </w:r>
      <w:r w:rsidR="00353FBA">
        <w:rPr>
          <w:sz w:val="22"/>
          <w:szCs w:val="22"/>
        </w:rPr>
        <w:t xml:space="preserve">Therefore, UE </w:t>
      </w:r>
      <w:r w:rsidR="001C2204">
        <w:rPr>
          <w:sz w:val="22"/>
          <w:szCs w:val="22"/>
        </w:rPr>
        <w:t xml:space="preserve">will typically </w:t>
      </w:r>
      <w:r w:rsidR="00353FBA">
        <w:rPr>
          <w:sz w:val="22"/>
          <w:szCs w:val="22"/>
        </w:rPr>
        <w:t>wake up before DRX ON</w:t>
      </w:r>
      <w:r w:rsidR="001C2204">
        <w:rPr>
          <w:sz w:val="22"/>
          <w:szCs w:val="22"/>
        </w:rPr>
        <w:t xml:space="preserve"> to fine tune with </w:t>
      </w:r>
      <w:r w:rsidR="004F49B2">
        <w:rPr>
          <w:sz w:val="22"/>
          <w:szCs w:val="22"/>
        </w:rPr>
        <w:t>serving cell in order not to miss the control channel</w:t>
      </w:r>
      <w:r w:rsidR="00353FBA">
        <w:rPr>
          <w:sz w:val="22"/>
          <w:szCs w:val="22"/>
        </w:rPr>
        <w:t xml:space="preserve">. </w:t>
      </w:r>
      <w:r w:rsidR="00EF7106">
        <w:rPr>
          <w:sz w:val="22"/>
          <w:szCs w:val="22"/>
        </w:rPr>
        <w:t>Thir</w:t>
      </w:r>
      <w:r w:rsidR="00F0100C">
        <w:rPr>
          <w:sz w:val="22"/>
          <w:szCs w:val="22"/>
        </w:rPr>
        <w:t xml:space="preserve">dly </w:t>
      </w:r>
      <w:r w:rsidR="003A71D6">
        <w:rPr>
          <w:sz w:val="22"/>
          <w:szCs w:val="22"/>
        </w:rPr>
        <w:t xml:space="preserve">the issue is not any different compared to </w:t>
      </w:r>
      <w:r w:rsidR="004F49B2">
        <w:rPr>
          <w:sz w:val="22"/>
          <w:szCs w:val="22"/>
        </w:rPr>
        <w:t>the legacy</w:t>
      </w:r>
      <w:r w:rsidR="00D31BF5">
        <w:rPr>
          <w:sz w:val="22"/>
          <w:szCs w:val="22"/>
        </w:rPr>
        <w:t xml:space="preserve"> NR operation where no such condition exists. </w:t>
      </w:r>
    </w:p>
    <w:p w14:paraId="0E7816C7" w14:textId="67E92FE3" w:rsidR="008143C6" w:rsidRPr="00367B27" w:rsidRDefault="008143C6" w:rsidP="00B823CA">
      <w:pPr>
        <w:spacing w:before="240" w:after="0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It has also been argued that </w:t>
      </w:r>
      <w:r w:rsidR="00641669" w:rsidRPr="00641669">
        <w:rPr>
          <w:sz w:val="22"/>
          <w:szCs w:val="22"/>
        </w:rPr>
        <w:t xml:space="preserve">when </w:t>
      </w:r>
      <w:r w:rsidR="00603EC9">
        <w:rPr>
          <w:sz w:val="22"/>
          <w:szCs w:val="22"/>
        </w:rPr>
        <w:t xml:space="preserve">DRX </w:t>
      </w:r>
      <w:r w:rsidR="00641669" w:rsidRPr="00641669">
        <w:rPr>
          <w:sz w:val="22"/>
          <w:szCs w:val="22"/>
        </w:rPr>
        <w:t xml:space="preserve">is configured, the reference cell availability is defined </w:t>
      </w:r>
      <w:r>
        <w:rPr>
          <w:sz w:val="22"/>
          <w:szCs w:val="22"/>
        </w:rPr>
        <w:t>based on the a</w:t>
      </w:r>
      <w:r w:rsidR="00367B27">
        <w:rPr>
          <w:sz w:val="22"/>
          <w:szCs w:val="22"/>
        </w:rPr>
        <w:t>vailability of SSB over a period which corresponds to the MAX</w:t>
      </w:r>
      <w:r w:rsidRPr="008143C6">
        <w:rPr>
          <w:sz w:val="22"/>
          <w:szCs w:val="22"/>
        </w:rPr>
        <w:t xml:space="preserve">{PHY measurement time interval of reference cell, 160 </w:t>
      </w:r>
      <w:proofErr w:type="spellStart"/>
      <w:r w:rsidRPr="008143C6">
        <w:rPr>
          <w:sz w:val="22"/>
          <w:szCs w:val="22"/>
        </w:rPr>
        <w:t>ms</w:t>
      </w:r>
      <w:proofErr w:type="spellEnd"/>
      <w:r w:rsidRPr="008143C6">
        <w:rPr>
          <w:sz w:val="22"/>
          <w:szCs w:val="22"/>
        </w:rPr>
        <w:t>}</w:t>
      </w:r>
      <w:r w:rsidR="001A7DD9">
        <w:rPr>
          <w:sz w:val="22"/>
          <w:szCs w:val="22"/>
        </w:rPr>
        <w:t xml:space="preserve"> [4]</w:t>
      </w:r>
      <w:r w:rsidR="00367B27">
        <w:rPr>
          <w:sz w:val="22"/>
          <w:szCs w:val="22"/>
        </w:rPr>
        <w:t xml:space="preserve">. The </w:t>
      </w:r>
      <w:r w:rsidR="00367B27" w:rsidRPr="008143C6">
        <w:rPr>
          <w:sz w:val="22"/>
          <w:szCs w:val="22"/>
        </w:rPr>
        <w:t>PHY measurement time interval of reference cell</w:t>
      </w:r>
      <w:r w:rsidR="00367B27">
        <w:rPr>
          <w:sz w:val="22"/>
          <w:szCs w:val="22"/>
        </w:rPr>
        <w:t xml:space="preserve"> is proposed in [</w:t>
      </w:r>
      <w:r w:rsidR="001A7DD9">
        <w:rPr>
          <w:sz w:val="22"/>
          <w:szCs w:val="22"/>
        </w:rPr>
        <w:t>4</w:t>
      </w:r>
      <w:r w:rsidR="00367B27">
        <w:rPr>
          <w:sz w:val="22"/>
          <w:szCs w:val="22"/>
        </w:rPr>
        <w:t>].</w:t>
      </w:r>
      <w:r w:rsidR="001A7DD9">
        <w:rPr>
          <w:sz w:val="22"/>
          <w:szCs w:val="22"/>
        </w:rPr>
        <w:t xml:space="preserve"> We don’t see need </w:t>
      </w:r>
      <w:r w:rsidR="008D4BF0">
        <w:rPr>
          <w:sz w:val="22"/>
          <w:szCs w:val="22"/>
        </w:rPr>
        <w:t xml:space="preserve">for </w:t>
      </w:r>
      <w:r w:rsidR="001A7DD9">
        <w:rPr>
          <w:sz w:val="22"/>
          <w:szCs w:val="22"/>
        </w:rPr>
        <w:t xml:space="preserve">defining any </w:t>
      </w:r>
      <w:r w:rsidR="001A7DD9" w:rsidRPr="001A7DD9">
        <w:rPr>
          <w:sz w:val="22"/>
          <w:szCs w:val="22"/>
        </w:rPr>
        <w:t>PHY measurement time interval of reference cell</w:t>
      </w:r>
      <w:r w:rsidR="008D4BF0">
        <w:rPr>
          <w:sz w:val="22"/>
          <w:szCs w:val="22"/>
        </w:rPr>
        <w:t xml:space="preserve"> for timing measurement. In</w:t>
      </w:r>
      <w:r w:rsidR="00E26CC7">
        <w:rPr>
          <w:sz w:val="22"/>
          <w:szCs w:val="22"/>
        </w:rPr>
        <w:t xml:space="preserve"> </w:t>
      </w:r>
      <w:r w:rsidR="008D4BF0">
        <w:rPr>
          <w:sz w:val="22"/>
          <w:szCs w:val="22"/>
        </w:rPr>
        <w:t>fact</w:t>
      </w:r>
      <w:r w:rsidR="00E26CC7">
        <w:rPr>
          <w:sz w:val="22"/>
          <w:szCs w:val="22"/>
        </w:rPr>
        <w:t xml:space="preserve">, </w:t>
      </w:r>
      <w:r w:rsidR="008D4BF0">
        <w:rPr>
          <w:sz w:val="22"/>
          <w:szCs w:val="22"/>
        </w:rPr>
        <w:t xml:space="preserve">with the proposed approach the L1 period can become even longer than 160 </w:t>
      </w:r>
      <w:proofErr w:type="spellStart"/>
      <w:r w:rsidR="008D4BF0">
        <w:rPr>
          <w:sz w:val="22"/>
          <w:szCs w:val="22"/>
        </w:rPr>
        <w:t>ms</w:t>
      </w:r>
      <w:proofErr w:type="spellEnd"/>
      <w:r w:rsidR="008D4BF0">
        <w:rPr>
          <w:sz w:val="22"/>
          <w:szCs w:val="22"/>
        </w:rPr>
        <w:t xml:space="preserve"> making it more difficult to meet the </w:t>
      </w:r>
      <w:proofErr w:type="spellStart"/>
      <w:r w:rsidR="008D4BF0">
        <w:rPr>
          <w:sz w:val="22"/>
          <w:szCs w:val="22"/>
        </w:rPr>
        <w:t>Te</w:t>
      </w:r>
      <w:proofErr w:type="spellEnd"/>
      <w:r w:rsidR="008D4BF0">
        <w:rPr>
          <w:sz w:val="22"/>
          <w:szCs w:val="22"/>
        </w:rPr>
        <w:t xml:space="preserve"> </w:t>
      </w:r>
      <w:r w:rsidR="00BC72E1">
        <w:rPr>
          <w:sz w:val="22"/>
          <w:szCs w:val="22"/>
        </w:rPr>
        <w:t>error requirements defined in section 7.1.1.</w:t>
      </w:r>
    </w:p>
    <w:p w14:paraId="3A5EE2CF" w14:textId="0C180F9C" w:rsidR="00B04186" w:rsidRDefault="00D31BF5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Our conclusion is that </w:t>
      </w:r>
      <w:proofErr w:type="gramStart"/>
      <w:r w:rsidR="00F67502">
        <w:rPr>
          <w:sz w:val="22"/>
          <w:szCs w:val="22"/>
        </w:rPr>
        <w:t>with regard to</w:t>
      </w:r>
      <w:proofErr w:type="gramEnd"/>
      <w:r w:rsidR="00F67502">
        <w:rPr>
          <w:sz w:val="22"/>
          <w:szCs w:val="22"/>
        </w:rPr>
        <w:t xml:space="preserve"> DRX </w:t>
      </w:r>
      <w:r>
        <w:rPr>
          <w:sz w:val="22"/>
          <w:szCs w:val="22"/>
        </w:rPr>
        <w:t xml:space="preserve">no further clarification </w:t>
      </w:r>
      <w:r w:rsidR="00F67502">
        <w:rPr>
          <w:sz w:val="22"/>
          <w:szCs w:val="22"/>
        </w:rPr>
        <w:t xml:space="preserve">is needed on the definition of </w:t>
      </w:r>
      <w:r>
        <w:rPr>
          <w:sz w:val="22"/>
          <w:szCs w:val="22"/>
        </w:rPr>
        <w:t xml:space="preserve">unavailability of a </w:t>
      </w:r>
      <w:r w:rsidRPr="00F13E4B">
        <w:rPr>
          <w:sz w:val="22"/>
          <w:szCs w:val="22"/>
        </w:rPr>
        <w:t>reference cell on a carrier frequency subject to CCA</w:t>
      </w:r>
      <w:r w:rsidR="00F67502">
        <w:rPr>
          <w:sz w:val="22"/>
          <w:szCs w:val="22"/>
        </w:rPr>
        <w:t>.</w:t>
      </w:r>
    </w:p>
    <w:p w14:paraId="13840D5B" w14:textId="7FDB5024" w:rsidR="008F791D" w:rsidRPr="00D546B2" w:rsidRDefault="008F791D" w:rsidP="00FB6C8C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D546B2">
        <w:rPr>
          <w:rFonts w:ascii="Times New Roman" w:hAnsi="Times New Roman"/>
          <w:b/>
          <w:bCs/>
          <w:szCs w:val="22"/>
        </w:rPr>
        <w:t>Observation 1:</w:t>
      </w:r>
      <w:r w:rsidR="00F67502" w:rsidRPr="00D546B2">
        <w:rPr>
          <w:rFonts w:ascii="Times New Roman" w:hAnsi="Times New Roman"/>
          <w:szCs w:val="22"/>
        </w:rPr>
        <w:t xml:space="preserve"> SSB transmission is cell specific while DRX is UE specific</w:t>
      </w:r>
      <w:r w:rsidR="00DB78E2" w:rsidRPr="00D546B2">
        <w:rPr>
          <w:rFonts w:ascii="Times New Roman" w:hAnsi="Times New Roman"/>
          <w:szCs w:val="22"/>
          <w:lang w:eastAsia="zh-CN"/>
        </w:rPr>
        <w:t>.</w:t>
      </w:r>
    </w:p>
    <w:p w14:paraId="27513090" w14:textId="6E300DA7" w:rsidR="00B20AFA" w:rsidRPr="00FC0505" w:rsidRDefault="00B20AFA" w:rsidP="00B20AF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>Observation 2:</w:t>
      </w:r>
      <w:r w:rsidRPr="00FC0505">
        <w:rPr>
          <w:rFonts w:ascii="Times New Roman" w:hAnsi="Times New Roman"/>
          <w:szCs w:val="22"/>
        </w:rPr>
        <w:t xml:space="preserve"> Typically, DRX cycles of different UEs are time </w:t>
      </w:r>
      <w:proofErr w:type="spellStart"/>
      <w:r w:rsidRPr="00FC0505">
        <w:rPr>
          <w:rFonts w:ascii="Times New Roman" w:hAnsi="Times New Roman"/>
          <w:szCs w:val="22"/>
        </w:rPr>
        <w:t>offseted</w:t>
      </w:r>
      <w:proofErr w:type="spellEnd"/>
      <w:r w:rsidRPr="00FC0505">
        <w:rPr>
          <w:rFonts w:ascii="Times New Roman" w:hAnsi="Times New Roman"/>
          <w:szCs w:val="22"/>
        </w:rPr>
        <w:t xml:space="preserve"> for load balancing</w:t>
      </w:r>
      <w:r w:rsidRPr="00FC0505">
        <w:rPr>
          <w:rFonts w:ascii="Times New Roman" w:hAnsi="Times New Roman"/>
          <w:szCs w:val="22"/>
          <w:lang w:eastAsia="zh-CN"/>
        </w:rPr>
        <w:t>.</w:t>
      </w:r>
    </w:p>
    <w:p w14:paraId="4488ADD0" w14:textId="77DEB070" w:rsidR="00B20AFA" w:rsidRPr="00FC0505" w:rsidRDefault="00B20AFA" w:rsidP="00B20AFA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lastRenderedPageBreak/>
        <w:t xml:space="preserve">Observation </w:t>
      </w:r>
      <w:r w:rsidR="00EF7106" w:rsidRPr="00FC0505">
        <w:rPr>
          <w:rFonts w:ascii="Times New Roman" w:hAnsi="Times New Roman"/>
          <w:b/>
          <w:bCs/>
          <w:szCs w:val="22"/>
        </w:rPr>
        <w:t>3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UE typically performs time-frequency tracking before ON duration </w:t>
      </w:r>
      <w:proofErr w:type="gramStart"/>
      <w:r w:rsidRPr="00FC0505">
        <w:rPr>
          <w:rFonts w:ascii="Times New Roman" w:hAnsi="Times New Roman"/>
          <w:szCs w:val="22"/>
        </w:rPr>
        <w:t>in order to</w:t>
      </w:r>
      <w:proofErr w:type="gramEnd"/>
      <w:r w:rsidRPr="00FC0505">
        <w:rPr>
          <w:rFonts w:ascii="Times New Roman" w:hAnsi="Times New Roman"/>
          <w:szCs w:val="22"/>
        </w:rPr>
        <w:t xml:space="preserve"> receive the PDCCH in the ON duration</w:t>
      </w:r>
      <w:r w:rsidRPr="00FC0505">
        <w:rPr>
          <w:rFonts w:ascii="Times New Roman" w:hAnsi="Times New Roman"/>
          <w:szCs w:val="22"/>
          <w:lang w:eastAsia="zh-CN"/>
        </w:rPr>
        <w:t>.</w:t>
      </w:r>
    </w:p>
    <w:p w14:paraId="2910F819" w14:textId="40A0C0D4" w:rsidR="00EF7106" w:rsidRDefault="00EF7106" w:rsidP="00EF7106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>Observation 4:</w:t>
      </w:r>
      <w:r w:rsidRPr="00FC0505">
        <w:rPr>
          <w:rFonts w:ascii="Times New Roman" w:hAnsi="Times New Roman"/>
          <w:szCs w:val="22"/>
        </w:rPr>
        <w:t xml:space="preserve"> In legacy NR operation </w:t>
      </w:r>
      <w:r w:rsidR="00EF2401" w:rsidRPr="00FC0505">
        <w:rPr>
          <w:rFonts w:ascii="Times New Roman" w:hAnsi="Times New Roman"/>
          <w:szCs w:val="22"/>
        </w:rPr>
        <w:t xml:space="preserve">there is no </w:t>
      </w:r>
      <w:r w:rsidRPr="00FC0505">
        <w:rPr>
          <w:rFonts w:ascii="Times New Roman" w:hAnsi="Times New Roman"/>
          <w:szCs w:val="22"/>
        </w:rPr>
        <w:t xml:space="preserve">condition </w:t>
      </w:r>
      <w:r w:rsidR="00EF2401" w:rsidRPr="00FC0505">
        <w:rPr>
          <w:rFonts w:ascii="Times New Roman" w:hAnsi="Times New Roman"/>
          <w:szCs w:val="22"/>
        </w:rPr>
        <w:t>to have SSB within ON duration</w:t>
      </w:r>
      <w:r w:rsidRPr="00FC0505">
        <w:rPr>
          <w:rFonts w:ascii="Times New Roman" w:hAnsi="Times New Roman"/>
          <w:szCs w:val="22"/>
          <w:lang w:eastAsia="zh-CN"/>
        </w:rPr>
        <w:t>.</w:t>
      </w:r>
      <w:r w:rsidR="00B82C4C">
        <w:rPr>
          <w:rFonts w:ascii="Times New Roman" w:hAnsi="Times New Roman"/>
          <w:szCs w:val="22"/>
          <w:lang w:eastAsia="zh-CN"/>
        </w:rPr>
        <w:t xml:space="preserve"> From UE timing perspective, the situation in NR-U is very similar to the legacy NR.</w:t>
      </w:r>
    </w:p>
    <w:p w14:paraId="721263B9" w14:textId="77DF04DB" w:rsidR="00B1382E" w:rsidRPr="00B1382E" w:rsidRDefault="00B1382E" w:rsidP="00B1382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5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UE cannot me</w:t>
      </w:r>
      <w:r w:rsidR="00603EC9">
        <w:rPr>
          <w:rFonts w:ascii="Times New Roman" w:hAnsi="Times New Roman"/>
          <w:szCs w:val="22"/>
        </w:rPr>
        <w:t>e</w:t>
      </w:r>
      <w:r>
        <w:rPr>
          <w:rFonts w:ascii="Times New Roman" w:hAnsi="Times New Roman"/>
          <w:szCs w:val="22"/>
        </w:rPr>
        <w:t xml:space="preserve">t </w:t>
      </w:r>
      <w:proofErr w:type="spellStart"/>
      <w:r>
        <w:rPr>
          <w:rFonts w:ascii="Times New Roman" w:hAnsi="Times New Roman"/>
          <w:szCs w:val="22"/>
        </w:rPr>
        <w:t>Te</w:t>
      </w:r>
      <w:proofErr w:type="spellEnd"/>
      <w:r>
        <w:rPr>
          <w:rFonts w:ascii="Times New Roman" w:hAnsi="Times New Roman"/>
          <w:szCs w:val="22"/>
        </w:rPr>
        <w:t xml:space="preserve"> requirements </w:t>
      </w:r>
      <w:r w:rsidR="00E26CC7">
        <w:rPr>
          <w:rFonts w:ascii="Times New Roman" w:hAnsi="Times New Roman"/>
          <w:szCs w:val="22"/>
        </w:rPr>
        <w:t xml:space="preserve">if SSB is not available at least once 160 </w:t>
      </w:r>
      <w:proofErr w:type="spellStart"/>
      <w:r w:rsidR="00E26CC7">
        <w:rPr>
          <w:rFonts w:ascii="Times New Roman" w:hAnsi="Times New Roman"/>
          <w:szCs w:val="22"/>
        </w:rPr>
        <w:t>ms</w:t>
      </w:r>
      <w:r>
        <w:rPr>
          <w:rFonts w:ascii="Times New Roman" w:hAnsi="Times New Roman"/>
          <w:szCs w:val="22"/>
          <w:lang w:eastAsia="zh-CN"/>
        </w:rPr>
        <w:t>.</w:t>
      </w:r>
      <w:proofErr w:type="spellEnd"/>
    </w:p>
    <w:p w14:paraId="0268F7B2" w14:textId="78FDB972" w:rsidR="00EF2401" w:rsidRDefault="00EF2401" w:rsidP="00EF240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>Proposal 1:</w:t>
      </w:r>
      <w:r w:rsidRPr="00FC0505">
        <w:rPr>
          <w:rFonts w:ascii="Times New Roman" w:hAnsi="Times New Roman"/>
          <w:szCs w:val="22"/>
        </w:rPr>
        <w:t xml:space="preserve"> SSB does not have to be within </w:t>
      </w:r>
      <w:r w:rsidR="006D2D88" w:rsidRPr="00FC0505">
        <w:rPr>
          <w:rFonts w:ascii="Times New Roman" w:hAnsi="Times New Roman"/>
          <w:szCs w:val="22"/>
        </w:rPr>
        <w:t xml:space="preserve">ON duration </w:t>
      </w:r>
      <w:r w:rsidR="00485FA8" w:rsidRPr="00FC0505">
        <w:rPr>
          <w:rFonts w:ascii="Times New Roman" w:hAnsi="Times New Roman"/>
          <w:szCs w:val="22"/>
        </w:rPr>
        <w:t xml:space="preserve">in a reference cell subject to DL CCA </w:t>
      </w:r>
      <w:proofErr w:type="gramStart"/>
      <w:r w:rsidR="006D2D88" w:rsidRPr="00FC0505">
        <w:rPr>
          <w:rFonts w:ascii="Times New Roman" w:hAnsi="Times New Roman"/>
          <w:szCs w:val="22"/>
        </w:rPr>
        <w:t>in order to</w:t>
      </w:r>
      <w:proofErr w:type="gramEnd"/>
      <w:r w:rsidR="006D2D88" w:rsidRPr="00FC0505">
        <w:rPr>
          <w:rFonts w:ascii="Times New Roman" w:hAnsi="Times New Roman"/>
          <w:szCs w:val="22"/>
        </w:rPr>
        <w:t xml:space="preserve"> meet UE timing requirements</w:t>
      </w:r>
    </w:p>
    <w:p w14:paraId="38C03650" w14:textId="455A07A8" w:rsidR="00481D33" w:rsidRPr="00481D33" w:rsidRDefault="00481D33" w:rsidP="00481D33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2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</w:t>
      </w:r>
      <w:r w:rsidR="00821E25">
        <w:rPr>
          <w:rFonts w:ascii="Times New Roman" w:hAnsi="Times New Roman"/>
          <w:szCs w:val="22"/>
        </w:rPr>
        <w:t>In DRX n</w:t>
      </w:r>
      <w:r w:rsidR="00EF0871">
        <w:rPr>
          <w:rFonts w:ascii="Times New Roman" w:hAnsi="Times New Roman"/>
          <w:szCs w:val="22"/>
        </w:rPr>
        <w:t>o</w:t>
      </w:r>
      <w:r w:rsidR="00EF0871" w:rsidRPr="00EF0871">
        <w:t xml:space="preserve"> </w:t>
      </w:r>
      <w:r w:rsidR="00EF0871" w:rsidRPr="00EF0871">
        <w:rPr>
          <w:rFonts w:ascii="Times New Roman" w:hAnsi="Times New Roman"/>
          <w:szCs w:val="22"/>
        </w:rPr>
        <w:t xml:space="preserve">MAX{PHY measurement time interval of reference cell, 160 </w:t>
      </w:r>
      <w:proofErr w:type="spellStart"/>
      <w:r w:rsidR="00EF0871" w:rsidRPr="00EF0871">
        <w:rPr>
          <w:rFonts w:ascii="Times New Roman" w:hAnsi="Times New Roman"/>
          <w:szCs w:val="22"/>
        </w:rPr>
        <w:t>ms</w:t>
      </w:r>
      <w:proofErr w:type="spellEnd"/>
      <w:r w:rsidR="00EF0871" w:rsidRPr="00EF0871">
        <w:rPr>
          <w:rFonts w:ascii="Times New Roman" w:hAnsi="Times New Roman"/>
          <w:szCs w:val="22"/>
        </w:rPr>
        <w:t>}</w:t>
      </w:r>
      <w:r w:rsidR="00EF0871">
        <w:rPr>
          <w:rFonts w:ascii="Times New Roman" w:hAnsi="Times New Roman"/>
          <w:szCs w:val="22"/>
        </w:rPr>
        <w:t xml:space="preserve"> for defining availability of reference cell is needed for </w:t>
      </w:r>
      <w:r w:rsidR="00821E25">
        <w:rPr>
          <w:rFonts w:ascii="Times New Roman" w:hAnsi="Times New Roman"/>
          <w:szCs w:val="22"/>
        </w:rPr>
        <w:t>UE to meet timing requirements.</w:t>
      </w:r>
    </w:p>
    <w:p w14:paraId="14E265F7" w14:textId="1AD352F4" w:rsidR="00EF2401" w:rsidRPr="00FC0505" w:rsidRDefault="00EF2401" w:rsidP="00EF240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 w:rsidR="00603EC9">
        <w:rPr>
          <w:rFonts w:ascii="Times New Roman" w:hAnsi="Times New Roman"/>
          <w:b/>
          <w:bCs/>
          <w:szCs w:val="22"/>
        </w:rPr>
        <w:t>3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No clarification </w:t>
      </w:r>
      <w:r w:rsidR="00020429">
        <w:rPr>
          <w:rFonts w:ascii="Times New Roman" w:hAnsi="Times New Roman"/>
          <w:szCs w:val="22"/>
        </w:rPr>
        <w:t xml:space="preserve">related </w:t>
      </w:r>
      <w:r w:rsidR="00485FA8" w:rsidRPr="00FC0505">
        <w:rPr>
          <w:rFonts w:ascii="Times New Roman" w:hAnsi="Times New Roman"/>
          <w:szCs w:val="22"/>
        </w:rPr>
        <w:t xml:space="preserve">to DRX </w:t>
      </w:r>
      <w:r w:rsidRPr="00FC0505">
        <w:rPr>
          <w:rFonts w:ascii="Times New Roman" w:hAnsi="Times New Roman"/>
          <w:szCs w:val="22"/>
        </w:rPr>
        <w:t xml:space="preserve">is needed on the </w:t>
      </w:r>
      <w:r w:rsidR="00485FA8" w:rsidRPr="00FC0505">
        <w:rPr>
          <w:rFonts w:ascii="Times New Roman" w:hAnsi="Times New Roman"/>
          <w:szCs w:val="22"/>
        </w:rPr>
        <w:t xml:space="preserve">current </w:t>
      </w:r>
      <w:r w:rsidRPr="00FC0505">
        <w:rPr>
          <w:rFonts w:ascii="Times New Roman" w:hAnsi="Times New Roman"/>
          <w:szCs w:val="22"/>
        </w:rPr>
        <w:t>definition of unavailability of a reference cell on a carrier frequency subject to CCA</w:t>
      </w:r>
      <w:r w:rsidR="00485FA8" w:rsidRPr="00FC0505">
        <w:rPr>
          <w:rFonts w:ascii="Times New Roman" w:hAnsi="Times New Roman"/>
          <w:szCs w:val="22"/>
        </w:rPr>
        <w:t xml:space="preserve"> in section 7.1.1.</w:t>
      </w:r>
    </w:p>
    <w:p w14:paraId="14EE764C" w14:textId="4C93C270" w:rsidR="00FC0505" w:rsidRPr="00452E98" w:rsidRDefault="00FC0505" w:rsidP="00FC0505">
      <w:pPr>
        <w:spacing w:before="240" w:after="0"/>
        <w:rPr>
          <w:b/>
          <w:bCs/>
          <w:sz w:val="22"/>
          <w:szCs w:val="22"/>
        </w:rPr>
      </w:pPr>
      <w:r w:rsidRPr="00452E98">
        <w:rPr>
          <w:b/>
          <w:bCs/>
          <w:sz w:val="22"/>
          <w:szCs w:val="22"/>
          <w:u w:val="single"/>
        </w:rPr>
        <w:t xml:space="preserve">Impact of </w:t>
      </w:r>
      <w:r>
        <w:rPr>
          <w:b/>
          <w:bCs/>
          <w:sz w:val="22"/>
          <w:szCs w:val="22"/>
          <w:u w:val="single"/>
        </w:rPr>
        <w:t xml:space="preserve">gaps </w:t>
      </w:r>
      <w:r w:rsidRPr="00452E98">
        <w:rPr>
          <w:b/>
          <w:bCs/>
          <w:sz w:val="22"/>
          <w:szCs w:val="22"/>
          <w:u w:val="single"/>
        </w:rPr>
        <w:t>on timing</w:t>
      </w:r>
      <w:r w:rsidRPr="00452E98">
        <w:rPr>
          <w:b/>
          <w:bCs/>
          <w:sz w:val="22"/>
          <w:szCs w:val="22"/>
        </w:rPr>
        <w:t>:</w:t>
      </w:r>
    </w:p>
    <w:p w14:paraId="1B9E69E5" w14:textId="1AD500CA" w:rsidR="00B20AFA" w:rsidRPr="00603EC9" w:rsidRDefault="00FC0505" w:rsidP="00E26CC7">
      <w:pPr>
        <w:spacing w:before="240" w:after="0"/>
        <w:rPr>
          <w:sz w:val="22"/>
          <w:szCs w:val="22"/>
        </w:rPr>
      </w:pPr>
      <w:r w:rsidRPr="00603EC9">
        <w:rPr>
          <w:sz w:val="22"/>
          <w:szCs w:val="22"/>
        </w:rPr>
        <w:t xml:space="preserve">On the second issue related to measurement gaps it has been argued that when </w:t>
      </w:r>
      <w:r w:rsidR="00311861" w:rsidRPr="00603EC9">
        <w:rPr>
          <w:sz w:val="22"/>
          <w:szCs w:val="22"/>
        </w:rPr>
        <w:t xml:space="preserve">gaps are configured </w:t>
      </w:r>
      <w:r w:rsidR="00461689" w:rsidRPr="00603EC9">
        <w:rPr>
          <w:sz w:val="22"/>
          <w:szCs w:val="22"/>
        </w:rPr>
        <w:t xml:space="preserve">then </w:t>
      </w:r>
      <w:r w:rsidRPr="00603EC9">
        <w:rPr>
          <w:sz w:val="22"/>
          <w:szCs w:val="22"/>
        </w:rPr>
        <w:t xml:space="preserve">the SSB </w:t>
      </w:r>
      <w:r w:rsidR="005A1DC2" w:rsidRPr="00603EC9">
        <w:rPr>
          <w:sz w:val="22"/>
          <w:szCs w:val="22"/>
        </w:rPr>
        <w:t xml:space="preserve">on the reference cell </w:t>
      </w:r>
      <w:r w:rsidRPr="00603EC9">
        <w:rPr>
          <w:sz w:val="22"/>
          <w:szCs w:val="22"/>
        </w:rPr>
        <w:t xml:space="preserve">should </w:t>
      </w:r>
      <w:r w:rsidR="00311861" w:rsidRPr="00603EC9">
        <w:rPr>
          <w:sz w:val="22"/>
          <w:szCs w:val="22"/>
        </w:rPr>
        <w:t xml:space="preserve">not be within </w:t>
      </w:r>
      <w:r w:rsidR="00461689" w:rsidRPr="00603EC9">
        <w:rPr>
          <w:sz w:val="22"/>
          <w:szCs w:val="22"/>
        </w:rPr>
        <w:t xml:space="preserve">the measurement </w:t>
      </w:r>
      <w:r w:rsidR="00311861" w:rsidRPr="00603EC9">
        <w:rPr>
          <w:sz w:val="22"/>
          <w:szCs w:val="22"/>
        </w:rPr>
        <w:t>gaps</w:t>
      </w:r>
      <w:r w:rsidR="00461689" w:rsidRPr="00603EC9">
        <w:rPr>
          <w:sz w:val="22"/>
          <w:szCs w:val="22"/>
        </w:rPr>
        <w:t xml:space="preserve"> or that the SSB should be outside the measurement gaps. </w:t>
      </w:r>
      <w:r w:rsidR="00E5518B" w:rsidRPr="00603EC9">
        <w:rPr>
          <w:sz w:val="22"/>
          <w:szCs w:val="22"/>
        </w:rPr>
        <w:t xml:space="preserve">In our view the necessary condition is that the SSB in the reference cell should be available once every 160 </w:t>
      </w:r>
      <w:proofErr w:type="spellStart"/>
      <w:r w:rsidR="00E5518B" w:rsidRPr="00603EC9">
        <w:rPr>
          <w:sz w:val="22"/>
          <w:szCs w:val="22"/>
        </w:rPr>
        <w:t>ms</w:t>
      </w:r>
      <w:proofErr w:type="spellEnd"/>
      <w:r w:rsidR="00E5518B" w:rsidRPr="00603EC9">
        <w:rPr>
          <w:sz w:val="22"/>
          <w:szCs w:val="22"/>
        </w:rPr>
        <w:t xml:space="preserve"> regardless of whether it falls in the gaps or outside gaps. The situation is the same as in legacy NR operation. In NR in general, </w:t>
      </w:r>
      <w:r w:rsidR="00027714" w:rsidRPr="00603EC9">
        <w:rPr>
          <w:sz w:val="22"/>
          <w:szCs w:val="22"/>
        </w:rPr>
        <w:t xml:space="preserve">when SSB in the serving cell does not fall within the active BWP then the UE may use gaps to measure even on serving carrier. </w:t>
      </w:r>
      <w:r w:rsidR="00D04C93" w:rsidRPr="00603EC9">
        <w:rPr>
          <w:sz w:val="22"/>
          <w:szCs w:val="22"/>
        </w:rPr>
        <w:t xml:space="preserve">Therefore, till the time the SSB is available once every 160 </w:t>
      </w:r>
      <w:proofErr w:type="spellStart"/>
      <w:r w:rsidR="00D04C93" w:rsidRPr="00603EC9">
        <w:rPr>
          <w:sz w:val="22"/>
          <w:szCs w:val="22"/>
        </w:rPr>
        <w:t>ms</w:t>
      </w:r>
      <w:proofErr w:type="spellEnd"/>
      <w:r w:rsidR="00E925D2" w:rsidRPr="00603EC9">
        <w:rPr>
          <w:sz w:val="22"/>
          <w:szCs w:val="22"/>
        </w:rPr>
        <w:t xml:space="preserve"> then</w:t>
      </w:r>
      <w:r w:rsidR="00955544" w:rsidRPr="00603EC9">
        <w:rPr>
          <w:sz w:val="22"/>
          <w:szCs w:val="22"/>
        </w:rPr>
        <w:t xml:space="preserve"> the UE should meet the UE transmit timing requirements.</w:t>
      </w:r>
      <w:r w:rsidR="00E925D2" w:rsidRPr="00603EC9">
        <w:rPr>
          <w:sz w:val="22"/>
          <w:szCs w:val="22"/>
        </w:rPr>
        <w:t xml:space="preserve"> </w:t>
      </w:r>
    </w:p>
    <w:p w14:paraId="788C04D8" w14:textId="6150C088" w:rsidR="008143C6" w:rsidRPr="00603EC9" w:rsidRDefault="00E26CC7" w:rsidP="00E26CC7">
      <w:pPr>
        <w:spacing w:before="240" w:after="0"/>
        <w:rPr>
          <w:b/>
          <w:bCs/>
          <w:sz w:val="22"/>
          <w:szCs w:val="22"/>
        </w:rPr>
      </w:pPr>
      <w:r w:rsidRPr="00603EC9">
        <w:rPr>
          <w:sz w:val="22"/>
          <w:szCs w:val="22"/>
        </w:rPr>
        <w:t xml:space="preserve">It has also been argued that when </w:t>
      </w:r>
      <w:r w:rsidR="00603EC9" w:rsidRPr="00603EC9">
        <w:rPr>
          <w:sz w:val="22"/>
          <w:szCs w:val="22"/>
        </w:rPr>
        <w:t>MG</w:t>
      </w:r>
      <w:r w:rsidRPr="00603EC9">
        <w:rPr>
          <w:sz w:val="22"/>
          <w:szCs w:val="22"/>
        </w:rPr>
        <w:t xml:space="preserve"> is configured, the reference cell availability is defined based on the availability of SSB over a period which corresponds to the MAX{PHY measurement time interval of reference cell, 160 </w:t>
      </w:r>
      <w:proofErr w:type="spellStart"/>
      <w:r w:rsidRPr="00603EC9">
        <w:rPr>
          <w:sz w:val="22"/>
          <w:szCs w:val="22"/>
        </w:rPr>
        <w:t>ms</w:t>
      </w:r>
      <w:proofErr w:type="spellEnd"/>
      <w:r w:rsidRPr="00603EC9">
        <w:rPr>
          <w:sz w:val="22"/>
          <w:szCs w:val="22"/>
        </w:rPr>
        <w:t xml:space="preserve">} [4]. The PHY measurement time interval of reference cell is proposed in [4]. We don’t see need for defining any PHY measurement time interval of reference cell for timing measurement when </w:t>
      </w:r>
      <w:r w:rsidR="00603EC9">
        <w:rPr>
          <w:sz w:val="22"/>
          <w:szCs w:val="22"/>
        </w:rPr>
        <w:t>MG is configured</w:t>
      </w:r>
      <w:r w:rsidRPr="00603EC9">
        <w:rPr>
          <w:sz w:val="22"/>
          <w:szCs w:val="22"/>
        </w:rPr>
        <w:t xml:space="preserve">. In fact, with the proposed approach the L1 period </w:t>
      </w:r>
      <w:r w:rsidR="00603EC9">
        <w:rPr>
          <w:sz w:val="22"/>
          <w:szCs w:val="22"/>
        </w:rPr>
        <w:t xml:space="preserve">may be </w:t>
      </w:r>
      <w:r w:rsidRPr="00603EC9">
        <w:rPr>
          <w:sz w:val="22"/>
          <w:szCs w:val="22"/>
        </w:rPr>
        <w:t xml:space="preserve">even longer than 160 </w:t>
      </w:r>
      <w:proofErr w:type="spellStart"/>
      <w:r w:rsidRPr="00603EC9">
        <w:rPr>
          <w:sz w:val="22"/>
          <w:szCs w:val="22"/>
        </w:rPr>
        <w:t>ms</w:t>
      </w:r>
      <w:proofErr w:type="spellEnd"/>
      <w:r w:rsidRPr="00603EC9">
        <w:rPr>
          <w:sz w:val="22"/>
          <w:szCs w:val="22"/>
        </w:rPr>
        <w:t xml:space="preserve"> making it more difficult to meet the </w:t>
      </w:r>
      <w:proofErr w:type="spellStart"/>
      <w:r w:rsidRPr="00603EC9">
        <w:rPr>
          <w:sz w:val="22"/>
          <w:szCs w:val="22"/>
        </w:rPr>
        <w:t>Te</w:t>
      </w:r>
      <w:proofErr w:type="spellEnd"/>
      <w:r w:rsidRPr="00603EC9">
        <w:rPr>
          <w:sz w:val="22"/>
          <w:szCs w:val="22"/>
        </w:rPr>
        <w:t xml:space="preserve"> error requirements defined in section 7.1.1.</w:t>
      </w:r>
    </w:p>
    <w:p w14:paraId="7326DE66" w14:textId="2F755EFE" w:rsidR="00020429" w:rsidRDefault="00020429" w:rsidP="00020429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Observation </w:t>
      </w:r>
      <w:r w:rsidR="00603EC9">
        <w:rPr>
          <w:rFonts w:ascii="Times New Roman" w:hAnsi="Times New Roman"/>
          <w:b/>
          <w:bCs/>
          <w:szCs w:val="22"/>
        </w:rPr>
        <w:t>6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In legacy NR operation there is no condition to have SSB </w:t>
      </w:r>
      <w:r>
        <w:rPr>
          <w:rFonts w:ascii="Times New Roman" w:hAnsi="Times New Roman"/>
          <w:szCs w:val="22"/>
        </w:rPr>
        <w:t>outside the gaps</w:t>
      </w:r>
      <w:r w:rsidR="00D656A0">
        <w:rPr>
          <w:rFonts w:ascii="Times New Roman" w:hAnsi="Times New Roman"/>
          <w:szCs w:val="22"/>
        </w:rPr>
        <w:t xml:space="preserve"> to meet requirements</w:t>
      </w:r>
      <w:r w:rsidRPr="00FC0505">
        <w:rPr>
          <w:rFonts w:ascii="Times New Roman" w:hAnsi="Times New Roman"/>
          <w:szCs w:val="22"/>
          <w:lang w:eastAsia="zh-CN"/>
        </w:rPr>
        <w:t>.</w:t>
      </w:r>
      <w:r>
        <w:rPr>
          <w:rFonts w:ascii="Times New Roman" w:hAnsi="Times New Roman"/>
          <w:szCs w:val="22"/>
          <w:lang w:eastAsia="zh-CN"/>
        </w:rPr>
        <w:t xml:space="preserve"> </w:t>
      </w:r>
      <w:r w:rsidR="00D656A0">
        <w:rPr>
          <w:rFonts w:ascii="Times New Roman" w:hAnsi="Times New Roman"/>
          <w:szCs w:val="22"/>
          <w:lang w:eastAsia="zh-CN"/>
        </w:rPr>
        <w:t xml:space="preserve">From UE timing perspective, the </w:t>
      </w:r>
      <w:r w:rsidR="003C518F">
        <w:rPr>
          <w:rFonts w:ascii="Times New Roman" w:hAnsi="Times New Roman"/>
          <w:szCs w:val="22"/>
          <w:lang w:eastAsia="zh-CN"/>
        </w:rPr>
        <w:t xml:space="preserve">situation </w:t>
      </w:r>
      <w:r w:rsidR="003124BA">
        <w:rPr>
          <w:rFonts w:ascii="Times New Roman" w:hAnsi="Times New Roman"/>
          <w:szCs w:val="22"/>
          <w:lang w:eastAsia="zh-CN"/>
        </w:rPr>
        <w:t xml:space="preserve">in NR-U </w:t>
      </w:r>
      <w:r w:rsidR="003C518F">
        <w:rPr>
          <w:rFonts w:ascii="Times New Roman" w:hAnsi="Times New Roman"/>
          <w:szCs w:val="22"/>
          <w:lang w:eastAsia="zh-CN"/>
        </w:rPr>
        <w:t>is very similar</w:t>
      </w:r>
      <w:r w:rsidR="003124BA">
        <w:rPr>
          <w:rFonts w:ascii="Times New Roman" w:hAnsi="Times New Roman"/>
          <w:szCs w:val="22"/>
          <w:lang w:eastAsia="zh-CN"/>
        </w:rPr>
        <w:t xml:space="preserve"> to the legacy NR</w:t>
      </w:r>
      <w:r w:rsidR="00B82C4C">
        <w:rPr>
          <w:rFonts w:ascii="Times New Roman" w:hAnsi="Times New Roman"/>
          <w:szCs w:val="22"/>
          <w:lang w:eastAsia="zh-CN"/>
        </w:rPr>
        <w:t>.</w:t>
      </w:r>
      <w:r w:rsidR="003C518F">
        <w:rPr>
          <w:rFonts w:ascii="Times New Roman" w:hAnsi="Times New Roman"/>
          <w:szCs w:val="22"/>
          <w:lang w:eastAsia="zh-CN"/>
        </w:rPr>
        <w:t xml:space="preserve"> </w:t>
      </w:r>
    </w:p>
    <w:p w14:paraId="6871D3EB" w14:textId="06B81222" w:rsidR="00A62271" w:rsidRDefault="00A62271" w:rsidP="00A62271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 w:rsidR="00603EC9">
        <w:rPr>
          <w:rFonts w:ascii="Times New Roman" w:hAnsi="Times New Roman"/>
          <w:b/>
          <w:bCs/>
          <w:szCs w:val="22"/>
        </w:rPr>
        <w:t>4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SSB </w:t>
      </w:r>
      <w:r w:rsidR="003124BA" w:rsidRPr="00FC0505">
        <w:rPr>
          <w:rFonts w:ascii="Times New Roman" w:hAnsi="Times New Roman"/>
          <w:szCs w:val="22"/>
        </w:rPr>
        <w:t xml:space="preserve">in a reference cell subject to DL CCA </w:t>
      </w:r>
      <w:r w:rsidRPr="00FC0505">
        <w:rPr>
          <w:rFonts w:ascii="Times New Roman" w:hAnsi="Times New Roman"/>
          <w:szCs w:val="22"/>
        </w:rPr>
        <w:t xml:space="preserve">does not have to be </w:t>
      </w:r>
      <w:r>
        <w:rPr>
          <w:rFonts w:ascii="Times New Roman" w:hAnsi="Times New Roman"/>
          <w:szCs w:val="22"/>
        </w:rPr>
        <w:t xml:space="preserve">outside the gaps </w:t>
      </w:r>
      <w:proofErr w:type="gramStart"/>
      <w:r w:rsidRPr="00FC0505">
        <w:rPr>
          <w:rFonts w:ascii="Times New Roman" w:hAnsi="Times New Roman"/>
          <w:szCs w:val="22"/>
        </w:rPr>
        <w:t>in order to</w:t>
      </w:r>
      <w:proofErr w:type="gramEnd"/>
      <w:r w:rsidRPr="00FC0505">
        <w:rPr>
          <w:rFonts w:ascii="Times New Roman" w:hAnsi="Times New Roman"/>
          <w:szCs w:val="22"/>
        </w:rPr>
        <w:t xml:space="preserve"> meet UE timing requirements</w:t>
      </w:r>
    </w:p>
    <w:p w14:paraId="5E9C4EDC" w14:textId="0B02B714" w:rsidR="00603EC9" w:rsidRPr="00603EC9" w:rsidRDefault="00603EC9" w:rsidP="00603EC9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5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When gaps are configured then no</w:t>
      </w:r>
      <w:r w:rsidRPr="00EF0871">
        <w:t xml:space="preserve"> </w:t>
      </w:r>
      <w:r w:rsidRPr="00EF0871">
        <w:rPr>
          <w:rFonts w:ascii="Times New Roman" w:hAnsi="Times New Roman"/>
          <w:szCs w:val="22"/>
        </w:rPr>
        <w:t xml:space="preserve">MAX{PHY measurement time interval of reference cell, 160 </w:t>
      </w:r>
      <w:proofErr w:type="spellStart"/>
      <w:r w:rsidRPr="00EF0871">
        <w:rPr>
          <w:rFonts w:ascii="Times New Roman" w:hAnsi="Times New Roman"/>
          <w:szCs w:val="22"/>
        </w:rPr>
        <w:t>ms</w:t>
      </w:r>
      <w:proofErr w:type="spellEnd"/>
      <w:r w:rsidRPr="00EF0871">
        <w:rPr>
          <w:rFonts w:ascii="Times New Roman" w:hAnsi="Times New Roman"/>
          <w:szCs w:val="22"/>
        </w:rPr>
        <w:t>}</w:t>
      </w:r>
      <w:r>
        <w:rPr>
          <w:rFonts w:ascii="Times New Roman" w:hAnsi="Times New Roman"/>
          <w:szCs w:val="22"/>
        </w:rPr>
        <w:t xml:space="preserve"> for defining availability of reference cell is needed for UE to meet timing requirements.</w:t>
      </w:r>
    </w:p>
    <w:p w14:paraId="352EE1B2" w14:textId="7629254D" w:rsidR="00020429" w:rsidRPr="00FC0505" w:rsidRDefault="00020429" w:rsidP="00020429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 w:rsidR="00603EC9">
        <w:rPr>
          <w:rFonts w:ascii="Times New Roman" w:hAnsi="Times New Roman"/>
          <w:b/>
          <w:bCs/>
          <w:szCs w:val="22"/>
        </w:rPr>
        <w:t>6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No clarification </w:t>
      </w:r>
      <w:r>
        <w:rPr>
          <w:rFonts w:ascii="Times New Roman" w:hAnsi="Times New Roman"/>
          <w:szCs w:val="22"/>
        </w:rPr>
        <w:t xml:space="preserve">related </w:t>
      </w:r>
      <w:r w:rsidRPr="00FC0505">
        <w:rPr>
          <w:rFonts w:ascii="Times New Roman" w:hAnsi="Times New Roman"/>
          <w:szCs w:val="22"/>
        </w:rPr>
        <w:t xml:space="preserve">to </w:t>
      </w:r>
      <w:r w:rsidR="00A62271">
        <w:rPr>
          <w:rFonts w:ascii="Times New Roman" w:hAnsi="Times New Roman"/>
          <w:szCs w:val="22"/>
        </w:rPr>
        <w:t xml:space="preserve">gap </w:t>
      </w:r>
      <w:r w:rsidRPr="00FC0505">
        <w:rPr>
          <w:rFonts w:ascii="Times New Roman" w:hAnsi="Times New Roman"/>
          <w:szCs w:val="22"/>
        </w:rPr>
        <w:t>is needed on the current definition of unavailability of a reference cell on a carrier frequency subject to CCA in section 7.1.1.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4B05B656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</w:t>
      </w:r>
      <w:r w:rsidR="00380E23">
        <w:rPr>
          <w:sz w:val="22"/>
          <w:szCs w:val="22"/>
          <w:lang w:val="en-US"/>
        </w:rPr>
        <w:t>discussed the impact of</w:t>
      </w:r>
      <w:r w:rsidR="003B306E">
        <w:rPr>
          <w:sz w:val="22"/>
          <w:szCs w:val="22"/>
          <w:lang w:val="en-US"/>
        </w:rPr>
        <w:t xml:space="preserve"> </w:t>
      </w:r>
      <w:r w:rsidR="00B82C4C">
        <w:rPr>
          <w:sz w:val="22"/>
          <w:szCs w:val="22"/>
          <w:lang w:val="en-US"/>
        </w:rPr>
        <w:t xml:space="preserve">DRX and gaps on </w:t>
      </w:r>
      <w:r w:rsidR="00D546B2">
        <w:rPr>
          <w:sz w:val="22"/>
          <w:szCs w:val="22"/>
          <w:lang w:val="en-US"/>
        </w:rPr>
        <w:t xml:space="preserve">the </w:t>
      </w:r>
      <w:r w:rsidR="00B82C4C" w:rsidRPr="00FC0505">
        <w:rPr>
          <w:szCs w:val="22"/>
        </w:rPr>
        <w:t>definition of unavailability of a reference cell on a carrier frequency subject to CCA</w:t>
      </w:r>
      <w:r w:rsidR="00B82C4C">
        <w:rPr>
          <w:sz w:val="22"/>
          <w:szCs w:val="22"/>
          <w:lang w:val="en-US"/>
        </w:rPr>
        <w:t xml:space="preserve"> </w:t>
      </w:r>
      <w:r w:rsidR="00D546B2">
        <w:rPr>
          <w:sz w:val="22"/>
          <w:szCs w:val="22"/>
          <w:lang w:val="en-US"/>
        </w:rPr>
        <w:t xml:space="preserve">for meeting UE timing requirements: </w:t>
      </w:r>
      <w:r w:rsidR="00CE21F0">
        <w:rPr>
          <w:sz w:val="22"/>
          <w:szCs w:val="22"/>
          <w:lang w:val="en-US"/>
        </w:rPr>
        <w:t xml:space="preserve">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4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D70237" w:rsidRPr="001D2FBF">
        <w:rPr>
          <w:sz w:val="22"/>
          <w:szCs w:val="22"/>
        </w:rPr>
        <w:t xml:space="preserve">observation and </w:t>
      </w:r>
      <w:r w:rsidR="00506C4B" w:rsidRPr="001D2FBF">
        <w:rPr>
          <w:sz w:val="22"/>
          <w:szCs w:val="22"/>
        </w:rPr>
        <w:t>proposal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1409CDC8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240"/>
        <w:rPr>
          <w:rFonts w:ascii="Times New Roman" w:hAnsi="Times New Roman"/>
          <w:b/>
          <w:bCs/>
          <w:sz w:val="20"/>
          <w:u w:val="single"/>
        </w:rPr>
      </w:pPr>
      <w:r w:rsidRPr="00D546B2">
        <w:rPr>
          <w:rFonts w:ascii="Times New Roman" w:hAnsi="Times New Roman"/>
          <w:b/>
          <w:bCs/>
          <w:sz w:val="20"/>
          <w:u w:val="single"/>
        </w:rPr>
        <w:t>On impact of gaps on timing:</w:t>
      </w:r>
    </w:p>
    <w:p w14:paraId="260AE9EB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Observation 1:</w:t>
      </w:r>
      <w:r w:rsidRPr="00D546B2">
        <w:rPr>
          <w:rFonts w:ascii="Times New Roman" w:hAnsi="Times New Roman"/>
          <w:sz w:val="20"/>
        </w:rPr>
        <w:t xml:space="preserve"> SSB transmission is cell specific while DRX is UE specific</w:t>
      </w:r>
      <w:r w:rsidRPr="00D546B2">
        <w:rPr>
          <w:rFonts w:ascii="Times New Roman" w:hAnsi="Times New Roman"/>
          <w:sz w:val="20"/>
          <w:lang w:eastAsia="zh-CN"/>
        </w:rPr>
        <w:t>.</w:t>
      </w:r>
    </w:p>
    <w:p w14:paraId="0BBCABCC" w14:textId="77777777" w:rsidR="00D546B2" w:rsidRPr="00D546B2" w:rsidRDefault="00D546B2" w:rsidP="00D546B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Observation 2:</w:t>
      </w:r>
      <w:r w:rsidRPr="00D546B2">
        <w:rPr>
          <w:rFonts w:ascii="Times New Roman" w:hAnsi="Times New Roman"/>
          <w:sz w:val="20"/>
        </w:rPr>
        <w:t xml:space="preserve"> Typically, DRX cycles of different UEs are time </w:t>
      </w:r>
      <w:proofErr w:type="spellStart"/>
      <w:r w:rsidRPr="00D546B2">
        <w:rPr>
          <w:rFonts w:ascii="Times New Roman" w:hAnsi="Times New Roman"/>
          <w:sz w:val="20"/>
        </w:rPr>
        <w:t>offseted</w:t>
      </w:r>
      <w:proofErr w:type="spellEnd"/>
      <w:r w:rsidRPr="00D546B2">
        <w:rPr>
          <w:rFonts w:ascii="Times New Roman" w:hAnsi="Times New Roman"/>
          <w:sz w:val="20"/>
        </w:rPr>
        <w:t xml:space="preserve"> for load balancing</w:t>
      </w:r>
      <w:r w:rsidRPr="00D546B2">
        <w:rPr>
          <w:rFonts w:ascii="Times New Roman" w:hAnsi="Times New Roman"/>
          <w:sz w:val="20"/>
          <w:lang w:eastAsia="zh-CN"/>
        </w:rPr>
        <w:t>.</w:t>
      </w:r>
    </w:p>
    <w:p w14:paraId="60177944" w14:textId="23319FFC" w:rsidR="00D546B2" w:rsidRDefault="00D546B2" w:rsidP="00D546B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lastRenderedPageBreak/>
        <w:t>Observation 3:</w:t>
      </w:r>
      <w:r w:rsidRPr="00D546B2">
        <w:rPr>
          <w:rFonts w:ascii="Times New Roman" w:hAnsi="Times New Roman"/>
          <w:sz w:val="20"/>
        </w:rPr>
        <w:t xml:space="preserve"> UE typically performs time-frequency tracking before ON duration </w:t>
      </w:r>
      <w:proofErr w:type="gramStart"/>
      <w:r w:rsidRPr="00D546B2">
        <w:rPr>
          <w:rFonts w:ascii="Times New Roman" w:hAnsi="Times New Roman"/>
          <w:sz w:val="20"/>
        </w:rPr>
        <w:t>in order to</w:t>
      </w:r>
      <w:proofErr w:type="gramEnd"/>
      <w:r w:rsidRPr="00D546B2">
        <w:rPr>
          <w:rFonts w:ascii="Times New Roman" w:hAnsi="Times New Roman"/>
          <w:sz w:val="20"/>
        </w:rPr>
        <w:t xml:space="preserve"> receive the PDCCH in the ON duration</w:t>
      </w:r>
      <w:r w:rsidRPr="00D546B2">
        <w:rPr>
          <w:rFonts w:ascii="Times New Roman" w:hAnsi="Times New Roman"/>
          <w:sz w:val="20"/>
          <w:lang w:eastAsia="zh-CN"/>
        </w:rPr>
        <w:t>.</w:t>
      </w:r>
    </w:p>
    <w:p w14:paraId="7F93FC77" w14:textId="786B0420" w:rsidR="00D546B2" w:rsidRDefault="00D546B2" w:rsidP="00D546B2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Observation 4:</w:t>
      </w:r>
      <w:r w:rsidRPr="00D546B2">
        <w:rPr>
          <w:rFonts w:ascii="Times New Roman" w:hAnsi="Times New Roman"/>
          <w:sz w:val="20"/>
        </w:rPr>
        <w:t xml:space="preserve"> In legacy NR operation there is no condition to have SSB within ON duration</w:t>
      </w:r>
      <w:r w:rsidRPr="00D546B2">
        <w:rPr>
          <w:rFonts w:ascii="Times New Roman" w:hAnsi="Times New Roman"/>
          <w:sz w:val="20"/>
          <w:lang w:eastAsia="zh-CN"/>
        </w:rPr>
        <w:t>. From UE timing perspective, the situation in NR-U is very similar to the legacy NR.</w:t>
      </w:r>
    </w:p>
    <w:p w14:paraId="3C8A2E5F" w14:textId="10DB0302" w:rsidR="00603EC9" w:rsidRPr="00603EC9" w:rsidRDefault="00603EC9" w:rsidP="00603EC9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Observation </w:t>
      </w:r>
      <w:r>
        <w:rPr>
          <w:rFonts w:ascii="Times New Roman" w:hAnsi="Times New Roman"/>
          <w:b/>
          <w:bCs/>
          <w:szCs w:val="22"/>
        </w:rPr>
        <w:t>5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UE cannot meet </w:t>
      </w:r>
      <w:proofErr w:type="spellStart"/>
      <w:r>
        <w:rPr>
          <w:rFonts w:ascii="Times New Roman" w:hAnsi="Times New Roman"/>
          <w:szCs w:val="22"/>
        </w:rPr>
        <w:t>Te</w:t>
      </w:r>
      <w:proofErr w:type="spellEnd"/>
      <w:r>
        <w:rPr>
          <w:rFonts w:ascii="Times New Roman" w:hAnsi="Times New Roman"/>
          <w:szCs w:val="22"/>
        </w:rPr>
        <w:t xml:space="preserve"> requirements if SSB is not available at least once 160 </w:t>
      </w:r>
      <w:proofErr w:type="spellStart"/>
      <w:r>
        <w:rPr>
          <w:rFonts w:ascii="Times New Roman" w:hAnsi="Times New Roman"/>
          <w:szCs w:val="22"/>
        </w:rPr>
        <w:t>ms</w:t>
      </w:r>
      <w:r>
        <w:rPr>
          <w:rFonts w:ascii="Times New Roman" w:hAnsi="Times New Roman"/>
          <w:szCs w:val="22"/>
          <w:lang w:eastAsia="zh-CN"/>
        </w:rPr>
        <w:t>.</w:t>
      </w:r>
      <w:proofErr w:type="spellEnd"/>
    </w:p>
    <w:p w14:paraId="6B496E78" w14:textId="1C17EB24" w:rsidR="00D546B2" w:rsidRDefault="00D546B2" w:rsidP="00D546B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>Proposal 1:</w:t>
      </w:r>
      <w:r w:rsidRPr="00D546B2">
        <w:rPr>
          <w:rFonts w:ascii="Times New Roman" w:hAnsi="Times New Roman"/>
          <w:sz w:val="20"/>
        </w:rPr>
        <w:t xml:space="preserve"> SSB does not have to be within ON duration in a reference cell subject to DL CCA </w:t>
      </w:r>
      <w:proofErr w:type="gramStart"/>
      <w:r w:rsidRPr="00D546B2">
        <w:rPr>
          <w:rFonts w:ascii="Times New Roman" w:hAnsi="Times New Roman"/>
          <w:sz w:val="20"/>
        </w:rPr>
        <w:t>in order to</w:t>
      </w:r>
      <w:proofErr w:type="gramEnd"/>
      <w:r w:rsidRPr="00D546B2">
        <w:rPr>
          <w:rFonts w:ascii="Times New Roman" w:hAnsi="Times New Roman"/>
          <w:sz w:val="20"/>
        </w:rPr>
        <w:t xml:space="preserve"> meet UE timing requirements</w:t>
      </w:r>
    </w:p>
    <w:p w14:paraId="5CA49167" w14:textId="2633BDB0" w:rsidR="00603EC9" w:rsidRPr="00603EC9" w:rsidRDefault="00603EC9" w:rsidP="00603EC9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2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In DRX no</w:t>
      </w:r>
      <w:r w:rsidRPr="00EF0871">
        <w:t xml:space="preserve"> </w:t>
      </w:r>
      <w:r w:rsidRPr="00EF0871">
        <w:rPr>
          <w:rFonts w:ascii="Times New Roman" w:hAnsi="Times New Roman"/>
          <w:szCs w:val="22"/>
        </w:rPr>
        <w:t xml:space="preserve">MAX{PHY measurement time interval of reference cell, 160 </w:t>
      </w:r>
      <w:proofErr w:type="spellStart"/>
      <w:r w:rsidRPr="00EF0871">
        <w:rPr>
          <w:rFonts w:ascii="Times New Roman" w:hAnsi="Times New Roman"/>
          <w:szCs w:val="22"/>
        </w:rPr>
        <w:t>ms</w:t>
      </w:r>
      <w:proofErr w:type="spellEnd"/>
      <w:r w:rsidRPr="00EF0871">
        <w:rPr>
          <w:rFonts w:ascii="Times New Roman" w:hAnsi="Times New Roman"/>
          <w:szCs w:val="22"/>
        </w:rPr>
        <w:t>}</w:t>
      </w:r>
      <w:r>
        <w:rPr>
          <w:rFonts w:ascii="Times New Roman" w:hAnsi="Times New Roman"/>
          <w:szCs w:val="22"/>
        </w:rPr>
        <w:t xml:space="preserve"> for defining availability of reference cell is needed for UE to meet timing requirements.</w:t>
      </w:r>
    </w:p>
    <w:p w14:paraId="62052FE6" w14:textId="7EE07FC6" w:rsidR="00D546B2" w:rsidRPr="00D546B2" w:rsidRDefault="00D546B2" w:rsidP="00D546B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 xml:space="preserve">Proposal </w:t>
      </w:r>
      <w:r w:rsidR="00603EC9">
        <w:rPr>
          <w:rFonts w:ascii="Times New Roman" w:hAnsi="Times New Roman"/>
          <w:b/>
          <w:bCs/>
          <w:sz w:val="20"/>
        </w:rPr>
        <w:t>3</w:t>
      </w:r>
      <w:r w:rsidRPr="00D546B2">
        <w:rPr>
          <w:rFonts w:ascii="Times New Roman" w:hAnsi="Times New Roman"/>
          <w:b/>
          <w:bCs/>
          <w:sz w:val="20"/>
        </w:rPr>
        <w:t>:</w:t>
      </w:r>
      <w:r w:rsidRPr="00D546B2">
        <w:rPr>
          <w:rFonts w:ascii="Times New Roman" w:hAnsi="Times New Roman"/>
          <w:sz w:val="20"/>
        </w:rPr>
        <w:t xml:space="preserve"> No clarification related to DRX is needed on the current definition of unavailability of a reference cell on a carrier frequency subject to CCA in section 7.1.1.</w:t>
      </w:r>
    </w:p>
    <w:p w14:paraId="0611A5F2" w14:textId="2B0FA9DB" w:rsidR="00D546B2" w:rsidRPr="00D546B2" w:rsidRDefault="00D546B2" w:rsidP="00D546B2">
      <w:pPr>
        <w:spacing w:before="240"/>
        <w:rPr>
          <w:b/>
          <w:bCs/>
          <w:u w:val="single"/>
          <w:lang w:val="en-US"/>
        </w:rPr>
      </w:pPr>
      <w:r w:rsidRPr="00D546B2">
        <w:rPr>
          <w:b/>
          <w:bCs/>
          <w:u w:val="single"/>
          <w:lang w:val="en-US"/>
        </w:rPr>
        <w:t>On impact of gaps on timing:</w:t>
      </w:r>
    </w:p>
    <w:p w14:paraId="34D7BA4B" w14:textId="028F93A8" w:rsidR="00D546B2" w:rsidRPr="00D546B2" w:rsidRDefault="00D546B2" w:rsidP="00D546B2">
      <w:pPr>
        <w:pStyle w:val="ListParagraph"/>
        <w:numPr>
          <w:ilvl w:val="0"/>
          <w:numId w:val="23"/>
        </w:numPr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 xml:space="preserve">Observation </w:t>
      </w:r>
      <w:r w:rsidR="00603EC9">
        <w:rPr>
          <w:rFonts w:ascii="Times New Roman" w:hAnsi="Times New Roman"/>
          <w:b/>
          <w:bCs/>
          <w:sz w:val="20"/>
        </w:rPr>
        <w:t>6</w:t>
      </w:r>
      <w:r w:rsidRPr="00D546B2">
        <w:rPr>
          <w:rFonts w:ascii="Times New Roman" w:hAnsi="Times New Roman"/>
          <w:b/>
          <w:bCs/>
          <w:sz w:val="20"/>
        </w:rPr>
        <w:t>:</w:t>
      </w:r>
      <w:r w:rsidRPr="00D546B2">
        <w:rPr>
          <w:rFonts w:ascii="Times New Roman" w:hAnsi="Times New Roman"/>
          <w:sz w:val="20"/>
        </w:rPr>
        <w:t xml:space="preserve"> In legacy NR operation there is no condition to have SSB outside the gaps to meet requirements</w:t>
      </w:r>
      <w:r w:rsidRPr="00D546B2">
        <w:rPr>
          <w:rFonts w:ascii="Times New Roman" w:hAnsi="Times New Roman"/>
          <w:sz w:val="20"/>
          <w:lang w:eastAsia="zh-CN"/>
        </w:rPr>
        <w:t xml:space="preserve">. From UE timing perspective, the situation in NR-U is very similar to the legacy NR. </w:t>
      </w:r>
    </w:p>
    <w:p w14:paraId="5312AE08" w14:textId="2BB7ABB9" w:rsidR="00D546B2" w:rsidRDefault="00D546B2" w:rsidP="00D546B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 xml:space="preserve">Proposal </w:t>
      </w:r>
      <w:r w:rsidR="00603EC9">
        <w:rPr>
          <w:rFonts w:ascii="Times New Roman" w:hAnsi="Times New Roman"/>
          <w:b/>
          <w:bCs/>
          <w:sz w:val="20"/>
        </w:rPr>
        <w:t>4</w:t>
      </w:r>
      <w:r w:rsidRPr="00D546B2">
        <w:rPr>
          <w:rFonts w:ascii="Times New Roman" w:hAnsi="Times New Roman"/>
          <w:b/>
          <w:bCs/>
          <w:sz w:val="20"/>
        </w:rPr>
        <w:t>:</w:t>
      </w:r>
      <w:r w:rsidRPr="00D546B2">
        <w:rPr>
          <w:rFonts w:ascii="Times New Roman" w:hAnsi="Times New Roman"/>
          <w:sz w:val="20"/>
        </w:rPr>
        <w:t xml:space="preserve"> SSB in a reference cell subject to DL CCA does not have to be outside the gaps </w:t>
      </w:r>
      <w:proofErr w:type="gramStart"/>
      <w:r w:rsidRPr="00D546B2">
        <w:rPr>
          <w:rFonts w:ascii="Times New Roman" w:hAnsi="Times New Roman"/>
          <w:sz w:val="20"/>
        </w:rPr>
        <w:t>in order to</w:t>
      </w:r>
      <w:proofErr w:type="gramEnd"/>
      <w:r w:rsidRPr="00D546B2">
        <w:rPr>
          <w:rFonts w:ascii="Times New Roman" w:hAnsi="Times New Roman"/>
          <w:sz w:val="20"/>
        </w:rPr>
        <w:t xml:space="preserve"> meet UE timing requirements</w:t>
      </w:r>
    </w:p>
    <w:p w14:paraId="4043932D" w14:textId="52182A5B" w:rsidR="00603EC9" w:rsidRPr="00603EC9" w:rsidRDefault="00603EC9" w:rsidP="00603EC9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FC0505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5</w:t>
      </w:r>
      <w:r w:rsidRPr="00FC0505">
        <w:rPr>
          <w:rFonts w:ascii="Times New Roman" w:hAnsi="Times New Roman"/>
          <w:b/>
          <w:bCs/>
          <w:szCs w:val="22"/>
        </w:rPr>
        <w:t>:</w:t>
      </w:r>
      <w:r w:rsidRPr="00FC050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When gaps are configured then no</w:t>
      </w:r>
      <w:r w:rsidRPr="00EF0871">
        <w:t xml:space="preserve"> </w:t>
      </w:r>
      <w:r w:rsidRPr="00EF0871">
        <w:rPr>
          <w:rFonts w:ascii="Times New Roman" w:hAnsi="Times New Roman"/>
          <w:szCs w:val="22"/>
        </w:rPr>
        <w:t xml:space="preserve">MAX{PHY measurement time interval of reference cell, 160 </w:t>
      </w:r>
      <w:proofErr w:type="spellStart"/>
      <w:r w:rsidRPr="00EF0871">
        <w:rPr>
          <w:rFonts w:ascii="Times New Roman" w:hAnsi="Times New Roman"/>
          <w:szCs w:val="22"/>
        </w:rPr>
        <w:t>ms</w:t>
      </w:r>
      <w:proofErr w:type="spellEnd"/>
      <w:r w:rsidRPr="00EF0871">
        <w:rPr>
          <w:rFonts w:ascii="Times New Roman" w:hAnsi="Times New Roman"/>
          <w:szCs w:val="22"/>
        </w:rPr>
        <w:t>}</w:t>
      </w:r>
      <w:r>
        <w:rPr>
          <w:rFonts w:ascii="Times New Roman" w:hAnsi="Times New Roman"/>
          <w:szCs w:val="22"/>
        </w:rPr>
        <w:t xml:space="preserve"> for defining availability of reference cell is needed for UE to meet timing requirements.</w:t>
      </w:r>
    </w:p>
    <w:p w14:paraId="6D92A76F" w14:textId="01215DE6" w:rsidR="00D546B2" w:rsidRPr="00603EC9" w:rsidRDefault="00D546B2" w:rsidP="00D546B2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546B2">
        <w:rPr>
          <w:rFonts w:ascii="Times New Roman" w:hAnsi="Times New Roman"/>
          <w:b/>
          <w:bCs/>
          <w:sz w:val="20"/>
        </w:rPr>
        <w:t xml:space="preserve">Proposal </w:t>
      </w:r>
      <w:r w:rsidR="00603EC9">
        <w:rPr>
          <w:rFonts w:ascii="Times New Roman" w:hAnsi="Times New Roman"/>
          <w:b/>
          <w:bCs/>
          <w:sz w:val="20"/>
        </w:rPr>
        <w:t>6</w:t>
      </w:r>
      <w:r w:rsidRPr="00D546B2">
        <w:rPr>
          <w:rFonts w:ascii="Times New Roman" w:hAnsi="Times New Roman"/>
          <w:b/>
          <w:bCs/>
          <w:sz w:val="20"/>
        </w:rPr>
        <w:t>:</w:t>
      </w:r>
      <w:r w:rsidRPr="00D546B2">
        <w:rPr>
          <w:rFonts w:ascii="Times New Roman" w:hAnsi="Times New Roman"/>
          <w:sz w:val="20"/>
        </w:rPr>
        <w:t xml:space="preserve"> No clarification related to gap is needed on the current definition of unavailability of a reference cell on a carrier frequency subject to CCA in section 7.1.1.</w:t>
      </w: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14FB4DB9" w14:textId="0BD698D1" w:rsidR="00343040" w:rsidRPr="00D15448" w:rsidRDefault="00AE12EE" w:rsidP="00D15448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5448">
        <w:rPr>
          <w:rFonts w:ascii="Times New Roman" w:hAnsi="Times New Roman"/>
          <w:sz w:val="20"/>
        </w:rPr>
        <w:t>R4-2</w:t>
      </w:r>
      <w:r w:rsidR="000F579A" w:rsidRPr="00D15448">
        <w:rPr>
          <w:rFonts w:ascii="Times New Roman" w:hAnsi="Times New Roman"/>
          <w:sz w:val="20"/>
        </w:rPr>
        <w:t>0</w:t>
      </w:r>
      <w:r w:rsidR="000A0AB4" w:rsidRPr="00D15448">
        <w:rPr>
          <w:rFonts w:ascii="Times New Roman" w:hAnsi="Times New Roman"/>
          <w:sz w:val="20"/>
        </w:rPr>
        <w:t>17080</w:t>
      </w:r>
      <w:r w:rsidR="008922A1" w:rsidRPr="00D15448">
        <w:rPr>
          <w:rFonts w:ascii="Times New Roman" w:hAnsi="Times New Roman"/>
          <w:sz w:val="20"/>
        </w:rPr>
        <w:t xml:space="preserve">, </w:t>
      </w:r>
      <w:r w:rsidR="00F136C2" w:rsidRPr="00D15448">
        <w:rPr>
          <w:rFonts w:ascii="Times New Roman" w:hAnsi="Times New Roman"/>
          <w:sz w:val="20"/>
        </w:rPr>
        <w:t>“</w:t>
      </w:r>
      <w:r w:rsidR="008F7D17" w:rsidRPr="00D15448">
        <w:rPr>
          <w:rFonts w:ascii="Times New Roman" w:hAnsi="Times New Roman"/>
          <w:sz w:val="20"/>
        </w:rPr>
        <w:t>WF on NR-U RRM Core Requirements, Ericsson</w:t>
      </w:r>
    </w:p>
    <w:p w14:paraId="0F0D1239" w14:textId="77777777" w:rsidR="00D15448" w:rsidRPr="00D15448" w:rsidRDefault="000B0F9E" w:rsidP="00D15448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5448">
        <w:rPr>
          <w:rFonts w:ascii="Times New Roman" w:hAnsi="Times New Roman"/>
          <w:sz w:val="20"/>
        </w:rPr>
        <w:t>R4-2102646, On UE transmit timing under DL LBT failure in reference cell, Ericsson.</w:t>
      </w:r>
    </w:p>
    <w:p w14:paraId="02A041C0" w14:textId="77777777" w:rsidR="00D15448" w:rsidRPr="00D15448" w:rsidRDefault="00D15448" w:rsidP="00D15448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5448">
        <w:rPr>
          <w:rFonts w:ascii="Times New Roman" w:hAnsi="Times New Roman"/>
          <w:sz w:val="20"/>
        </w:rPr>
        <w:t>R4-2100062</w:t>
      </w:r>
      <w:r w:rsidRPr="00D15448">
        <w:rPr>
          <w:rFonts w:ascii="Times New Roman" w:hAnsi="Times New Roman"/>
          <w:sz w:val="20"/>
        </w:rPr>
        <w:tab/>
        <w:t>Discussions on UE transmit timing and reference cell under NR-U</w:t>
      </w:r>
      <w:r w:rsidRPr="00D15448">
        <w:rPr>
          <w:rFonts w:ascii="Times New Roman" w:hAnsi="Times New Roman"/>
          <w:sz w:val="20"/>
        </w:rPr>
        <w:tab/>
        <w:t>ZTE Corporation</w:t>
      </w:r>
    </w:p>
    <w:p w14:paraId="72BC8675" w14:textId="77777777" w:rsidR="00D15448" w:rsidRPr="00D15448" w:rsidRDefault="00D15448" w:rsidP="00D15448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5448">
        <w:rPr>
          <w:rFonts w:ascii="Times New Roman" w:hAnsi="Times New Roman"/>
          <w:sz w:val="20"/>
        </w:rPr>
        <w:t>R4-2100188</w:t>
      </w:r>
      <w:r w:rsidRPr="00D15448">
        <w:rPr>
          <w:rFonts w:ascii="Times New Roman" w:hAnsi="Times New Roman"/>
          <w:sz w:val="20"/>
        </w:rPr>
        <w:tab/>
        <w:t>On reference cell availability for NR-U</w:t>
      </w:r>
      <w:r w:rsidRPr="00D15448">
        <w:rPr>
          <w:rFonts w:ascii="Times New Roman" w:hAnsi="Times New Roman"/>
          <w:sz w:val="20"/>
        </w:rPr>
        <w:tab/>
        <w:t>Apple</w:t>
      </w:r>
    </w:p>
    <w:p w14:paraId="1FD739E4" w14:textId="77777777" w:rsidR="00D15448" w:rsidRPr="00D15448" w:rsidRDefault="00D15448" w:rsidP="00D15448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5448">
        <w:rPr>
          <w:rFonts w:ascii="Times New Roman" w:hAnsi="Times New Roman"/>
          <w:sz w:val="20"/>
        </w:rPr>
        <w:t>R4-2100771</w:t>
      </w:r>
      <w:r w:rsidRPr="00D15448">
        <w:rPr>
          <w:rFonts w:ascii="Times New Roman" w:hAnsi="Times New Roman"/>
          <w:sz w:val="20"/>
        </w:rPr>
        <w:tab/>
        <w:t>Discussion on timing requirements for NR-U</w:t>
      </w:r>
      <w:r w:rsidRPr="00D15448">
        <w:rPr>
          <w:rFonts w:ascii="Times New Roman" w:hAnsi="Times New Roman"/>
          <w:sz w:val="20"/>
        </w:rPr>
        <w:tab/>
        <w:t>MediaTek inc.</w:t>
      </w:r>
    </w:p>
    <w:p w14:paraId="73F6F6A3" w14:textId="405F373F" w:rsidR="00D15448" w:rsidRPr="00D15448" w:rsidRDefault="00D15448" w:rsidP="00D15448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15448">
        <w:rPr>
          <w:rFonts w:ascii="Times New Roman" w:hAnsi="Times New Roman"/>
          <w:sz w:val="20"/>
        </w:rPr>
        <w:t>R4-2101646</w:t>
      </w:r>
      <w:r w:rsidRPr="00D15448">
        <w:rPr>
          <w:rFonts w:ascii="Times New Roman" w:hAnsi="Times New Roman"/>
          <w:sz w:val="20"/>
        </w:rPr>
        <w:tab/>
        <w:t>Discussion on timing requirements for NR-U</w:t>
      </w:r>
      <w:r w:rsidRPr="00D15448">
        <w:rPr>
          <w:rFonts w:ascii="Times New Roman" w:hAnsi="Times New Roman"/>
          <w:sz w:val="20"/>
        </w:rPr>
        <w:tab/>
        <w:t xml:space="preserve">Huawei, </w:t>
      </w:r>
      <w:proofErr w:type="spellStart"/>
      <w:r w:rsidRPr="00D15448">
        <w:rPr>
          <w:rFonts w:ascii="Times New Roman" w:hAnsi="Times New Roman"/>
          <w:sz w:val="20"/>
        </w:rPr>
        <w:t>HiSilicon</w:t>
      </w:r>
      <w:proofErr w:type="spellEnd"/>
    </w:p>
    <w:sectPr w:rsidR="00D15448" w:rsidRPr="00D1544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BCB8E" w14:textId="77777777" w:rsidR="00D930D6" w:rsidRDefault="00D930D6">
      <w:r>
        <w:separator/>
      </w:r>
    </w:p>
  </w:endnote>
  <w:endnote w:type="continuationSeparator" w:id="0">
    <w:p w14:paraId="62DB9CE2" w14:textId="77777777" w:rsidR="00D930D6" w:rsidRDefault="00D9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F99C7" w14:textId="77777777" w:rsidR="00D930D6" w:rsidRDefault="00D930D6">
      <w:r>
        <w:separator/>
      </w:r>
    </w:p>
  </w:footnote>
  <w:footnote w:type="continuationSeparator" w:id="0">
    <w:p w14:paraId="1827DF15" w14:textId="77777777" w:rsidR="00D930D6" w:rsidRDefault="00D93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0B4578"/>
    <w:multiLevelType w:val="hybridMultilevel"/>
    <w:tmpl w:val="8B0852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0" w15:restartNumberingAfterBreak="0">
    <w:nsid w:val="6E157C86"/>
    <w:multiLevelType w:val="hybridMultilevel"/>
    <w:tmpl w:val="E6889D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0"/>
  </w:num>
  <w:num w:numId="5">
    <w:abstractNumId w:val="12"/>
  </w:num>
  <w:num w:numId="6">
    <w:abstractNumId w:val="23"/>
  </w:num>
  <w:num w:numId="7">
    <w:abstractNumId w:val="19"/>
  </w:num>
  <w:num w:numId="8">
    <w:abstractNumId w:val="17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8"/>
  </w:num>
  <w:num w:numId="17">
    <w:abstractNumId w:val="6"/>
  </w:num>
  <w:num w:numId="18">
    <w:abstractNumId w:val="22"/>
  </w:num>
  <w:num w:numId="19">
    <w:abstractNumId w:val="15"/>
  </w:num>
  <w:num w:numId="20">
    <w:abstractNumId w:val="14"/>
  </w:num>
  <w:num w:numId="21">
    <w:abstractNumId w:val="13"/>
  </w:num>
  <w:num w:numId="22">
    <w:abstractNumId w:val="16"/>
  </w:num>
  <w:num w:numId="23">
    <w:abstractNumId w:val="9"/>
  </w:num>
  <w:num w:numId="24">
    <w:abstractNumId w:val="10"/>
  </w:num>
  <w:num w:numId="2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429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714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4E9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37F1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579A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7A2"/>
    <w:rsid w:val="00120B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08B4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4B6"/>
    <w:rsid w:val="001808A4"/>
    <w:rsid w:val="0018133F"/>
    <w:rsid w:val="00182A49"/>
    <w:rsid w:val="00182AC6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616"/>
    <w:rsid w:val="001A67AF"/>
    <w:rsid w:val="001A6804"/>
    <w:rsid w:val="001A740D"/>
    <w:rsid w:val="001A7B60"/>
    <w:rsid w:val="001A7DD9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91A"/>
    <w:rsid w:val="001B5E4B"/>
    <w:rsid w:val="001B5FCD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4D4D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77ED"/>
    <w:rsid w:val="002979E8"/>
    <w:rsid w:val="002979F7"/>
    <w:rsid w:val="002A0057"/>
    <w:rsid w:val="002A0139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162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291"/>
    <w:rsid w:val="002B7860"/>
    <w:rsid w:val="002B7C43"/>
    <w:rsid w:val="002B7CEE"/>
    <w:rsid w:val="002C0DDA"/>
    <w:rsid w:val="002C1706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D00E5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1861"/>
    <w:rsid w:val="00312007"/>
    <w:rsid w:val="003124BA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040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3FBA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67B27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3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D6"/>
    <w:rsid w:val="003B02AC"/>
    <w:rsid w:val="003B06ED"/>
    <w:rsid w:val="003B07C4"/>
    <w:rsid w:val="003B27A7"/>
    <w:rsid w:val="003B3048"/>
    <w:rsid w:val="003B306E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460"/>
    <w:rsid w:val="003F1537"/>
    <w:rsid w:val="003F1645"/>
    <w:rsid w:val="003F18E2"/>
    <w:rsid w:val="003F2400"/>
    <w:rsid w:val="003F31F2"/>
    <w:rsid w:val="003F3B11"/>
    <w:rsid w:val="003F5E14"/>
    <w:rsid w:val="003F62C6"/>
    <w:rsid w:val="0040016B"/>
    <w:rsid w:val="004011D8"/>
    <w:rsid w:val="0040163E"/>
    <w:rsid w:val="00402D68"/>
    <w:rsid w:val="00402E2E"/>
    <w:rsid w:val="004037E8"/>
    <w:rsid w:val="004040A8"/>
    <w:rsid w:val="004041C4"/>
    <w:rsid w:val="00404758"/>
    <w:rsid w:val="00407C85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27EC"/>
    <w:rsid w:val="00452E98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689"/>
    <w:rsid w:val="00461B73"/>
    <w:rsid w:val="00462619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5FA8"/>
    <w:rsid w:val="0048681D"/>
    <w:rsid w:val="00486F13"/>
    <w:rsid w:val="0048714D"/>
    <w:rsid w:val="00487410"/>
    <w:rsid w:val="00487DEC"/>
    <w:rsid w:val="004906D0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C4A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9B2"/>
    <w:rsid w:val="004F4AAA"/>
    <w:rsid w:val="004F5851"/>
    <w:rsid w:val="004F59E3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460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49A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26A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57E4"/>
    <w:rsid w:val="005A5842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00"/>
    <w:rsid w:val="005F758B"/>
    <w:rsid w:val="006003E1"/>
    <w:rsid w:val="00600409"/>
    <w:rsid w:val="00600EF9"/>
    <w:rsid w:val="00601005"/>
    <w:rsid w:val="0060112A"/>
    <w:rsid w:val="00602BA6"/>
    <w:rsid w:val="00603EC9"/>
    <w:rsid w:val="0060426B"/>
    <w:rsid w:val="006042DE"/>
    <w:rsid w:val="00604BAC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1669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6DBC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4D2B"/>
    <w:rsid w:val="006C60F5"/>
    <w:rsid w:val="006C715A"/>
    <w:rsid w:val="006D01D3"/>
    <w:rsid w:val="006D1C90"/>
    <w:rsid w:val="006D270B"/>
    <w:rsid w:val="006D2D88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6FCA"/>
    <w:rsid w:val="006E70F8"/>
    <w:rsid w:val="006E73C4"/>
    <w:rsid w:val="006E78AB"/>
    <w:rsid w:val="006E7F3B"/>
    <w:rsid w:val="006F0764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3CF2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07C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9B7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C7C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3AB"/>
    <w:rsid w:val="00793450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3C6"/>
    <w:rsid w:val="00814B1D"/>
    <w:rsid w:val="00814B85"/>
    <w:rsid w:val="008150D9"/>
    <w:rsid w:val="008153BC"/>
    <w:rsid w:val="00820A79"/>
    <w:rsid w:val="0082193C"/>
    <w:rsid w:val="00821E25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52C9"/>
    <w:rsid w:val="008368DF"/>
    <w:rsid w:val="00836B28"/>
    <w:rsid w:val="00837400"/>
    <w:rsid w:val="0084087A"/>
    <w:rsid w:val="00840C34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4BF0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8F7D17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76E4"/>
    <w:rsid w:val="00922DE3"/>
    <w:rsid w:val="0092317E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5544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E07"/>
    <w:rsid w:val="009D4FE9"/>
    <w:rsid w:val="009D5C6C"/>
    <w:rsid w:val="009D673E"/>
    <w:rsid w:val="009D6DFB"/>
    <w:rsid w:val="009D76C5"/>
    <w:rsid w:val="009E00D0"/>
    <w:rsid w:val="009E0B99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A18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10C"/>
    <w:rsid w:val="00A246B6"/>
    <w:rsid w:val="00A24DBA"/>
    <w:rsid w:val="00A27530"/>
    <w:rsid w:val="00A27CB4"/>
    <w:rsid w:val="00A323E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271"/>
    <w:rsid w:val="00A62337"/>
    <w:rsid w:val="00A63E71"/>
    <w:rsid w:val="00A645E0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186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82E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AF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B80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67E41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64A"/>
    <w:rsid w:val="00B778F3"/>
    <w:rsid w:val="00B77F7E"/>
    <w:rsid w:val="00B80BB3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3CD"/>
    <w:rsid w:val="00B87676"/>
    <w:rsid w:val="00B903E7"/>
    <w:rsid w:val="00B90669"/>
    <w:rsid w:val="00B90937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695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C72E1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8C9"/>
    <w:rsid w:val="00BE1C58"/>
    <w:rsid w:val="00BE203C"/>
    <w:rsid w:val="00BE2894"/>
    <w:rsid w:val="00BE3C38"/>
    <w:rsid w:val="00BE4232"/>
    <w:rsid w:val="00BE4E66"/>
    <w:rsid w:val="00BE5CFD"/>
    <w:rsid w:val="00BE6EFC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C6B"/>
    <w:rsid w:val="00C17E7B"/>
    <w:rsid w:val="00C20A0B"/>
    <w:rsid w:val="00C220B7"/>
    <w:rsid w:val="00C225BF"/>
    <w:rsid w:val="00C22C45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0BF4"/>
    <w:rsid w:val="00C3238A"/>
    <w:rsid w:val="00C3368E"/>
    <w:rsid w:val="00C34FA5"/>
    <w:rsid w:val="00C36633"/>
    <w:rsid w:val="00C373A8"/>
    <w:rsid w:val="00C37B2E"/>
    <w:rsid w:val="00C4072E"/>
    <w:rsid w:val="00C41603"/>
    <w:rsid w:val="00C431CA"/>
    <w:rsid w:val="00C43488"/>
    <w:rsid w:val="00C4375E"/>
    <w:rsid w:val="00C44065"/>
    <w:rsid w:val="00C44EBF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A20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4D0A"/>
    <w:rsid w:val="00CF7C00"/>
    <w:rsid w:val="00CF7DDB"/>
    <w:rsid w:val="00D0012B"/>
    <w:rsid w:val="00D01693"/>
    <w:rsid w:val="00D01E17"/>
    <w:rsid w:val="00D03CD5"/>
    <w:rsid w:val="00D03F9A"/>
    <w:rsid w:val="00D041BA"/>
    <w:rsid w:val="00D04C9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448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27EC2"/>
    <w:rsid w:val="00D30117"/>
    <w:rsid w:val="00D30EF7"/>
    <w:rsid w:val="00D315AE"/>
    <w:rsid w:val="00D317F9"/>
    <w:rsid w:val="00D31BF5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5A59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6B2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307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23F6"/>
    <w:rsid w:val="00D930D6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8E2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1BEB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07F48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C7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8B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350"/>
    <w:rsid w:val="00E925D2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71"/>
    <w:rsid w:val="00EF161C"/>
    <w:rsid w:val="00EF1639"/>
    <w:rsid w:val="00EF21B4"/>
    <w:rsid w:val="00EF2401"/>
    <w:rsid w:val="00EF2AD1"/>
    <w:rsid w:val="00EF3078"/>
    <w:rsid w:val="00EF3306"/>
    <w:rsid w:val="00EF4090"/>
    <w:rsid w:val="00EF451D"/>
    <w:rsid w:val="00EF46F5"/>
    <w:rsid w:val="00EF489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3E4B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70"/>
    <w:rsid w:val="00F22B94"/>
    <w:rsid w:val="00F23507"/>
    <w:rsid w:val="00F2451F"/>
    <w:rsid w:val="00F2456B"/>
    <w:rsid w:val="00F2502D"/>
    <w:rsid w:val="00F25D98"/>
    <w:rsid w:val="00F264B8"/>
    <w:rsid w:val="00F27471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502"/>
    <w:rsid w:val="00F67DDA"/>
    <w:rsid w:val="00F71729"/>
    <w:rsid w:val="00F71DA2"/>
    <w:rsid w:val="00F71DAD"/>
    <w:rsid w:val="00F74533"/>
    <w:rsid w:val="00F75299"/>
    <w:rsid w:val="00F7792E"/>
    <w:rsid w:val="00F80396"/>
    <w:rsid w:val="00F806BB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505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C7A49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3</Pages>
  <Words>1327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141</cp:revision>
  <cp:lastPrinted>1899-12-31T23:00:00Z</cp:lastPrinted>
  <dcterms:created xsi:type="dcterms:W3CDTF">2020-10-22T07:55:00Z</dcterms:created>
  <dcterms:modified xsi:type="dcterms:W3CDTF">2021-04-02T18:14:00Z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